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3F2A" w14:textId="6D847435" w:rsidR="00A376B9" w:rsidRPr="00005390" w:rsidRDefault="00545CA5" w:rsidP="00A376B9">
      <w:pPr>
        <w:pStyle w:val="Tableheading"/>
        <w:spacing w:after="360"/>
        <w:ind w:left="-851"/>
        <w:contextualSpacing/>
        <w:rPr>
          <w:u w:val="single"/>
        </w:rPr>
      </w:pPr>
      <w:r w:rsidRPr="00005390">
        <w:rPr>
          <w:color w:val="6484BF"/>
        </w:rPr>
        <w:t>USD</w:t>
      </w:r>
      <w:r w:rsidR="00A376B9" w:rsidRPr="00005390">
        <w:rPr>
          <w:color w:val="6484BF"/>
        </w:rPr>
        <w:t xml:space="preserve"> </w:t>
      </w:r>
      <w:r w:rsidR="00022FB8">
        <w:rPr>
          <w:color w:val="6484BF"/>
        </w:rPr>
        <w:t>1.0</w:t>
      </w:r>
      <w:r w:rsidRPr="00005390">
        <w:rPr>
          <w:color w:val="6484BF"/>
        </w:rPr>
        <w:t xml:space="preserve"> million</w:t>
      </w:r>
      <w:r w:rsidR="00D0063C" w:rsidRPr="00005390">
        <w:rPr>
          <w:color w:val="6484BF"/>
        </w:rPr>
        <w:t xml:space="preserve"> </w:t>
      </w:r>
      <w:r w:rsidR="001C6972" w:rsidRPr="00005390">
        <w:rPr>
          <w:color w:val="6484BF"/>
        </w:rPr>
        <w:t xml:space="preserve">Callable </w:t>
      </w:r>
      <w:r w:rsidRPr="00005390">
        <w:rPr>
          <w:color w:val="6484BF"/>
        </w:rPr>
        <w:t>Linear</w:t>
      </w:r>
      <w:r w:rsidR="00E5766D" w:rsidRPr="00005390">
        <w:rPr>
          <w:color w:val="6484BF"/>
        </w:rPr>
        <w:t xml:space="preserve"> </w:t>
      </w:r>
      <w:r w:rsidR="00A376B9" w:rsidRPr="00005390">
        <w:rPr>
          <w:color w:val="6484BF"/>
        </w:rPr>
        <w:t xml:space="preserve">Zero Coupon Notes due </w:t>
      </w:r>
      <w:r w:rsidR="00A823EA">
        <w:rPr>
          <w:color w:val="6484BF"/>
        </w:rPr>
        <w:t>8</w:t>
      </w:r>
      <w:r w:rsidRPr="00005390">
        <w:rPr>
          <w:color w:val="6484BF"/>
        </w:rPr>
        <w:t xml:space="preserve"> </w:t>
      </w:r>
      <w:r w:rsidR="00A823EA">
        <w:rPr>
          <w:color w:val="6484BF"/>
        </w:rPr>
        <w:t>May</w:t>
      </w:r>
      <w:r w:rsidRPr="00005390">
        <w:rPr>
          <w:color w:val="6484BF"/>
        </w:rPr>
        <w:t xml:space="preserve"> 20</w:t>
      </w:r>
      <w:r w:rsidR="00DE7118">
        <w:rPr>
          <w:color w:val="6484BF"/>
        </w:rPr>
        <w:t>3</w:t>
      </w:r>
      <w:r w:rsidR="008F7300">
        <w:rPr>
          <w:color w:val="6484BF"/>
        </w:rPr>
        <w:t>1</w:t>
      </w:r>
      <w:r w:rsidR="00A376B9" w:rsidRPr="00005390">
        <w:br/>
      </w:r>
      <w:r w:rsidRPr="00005390">
        <w:rPr>
          <w:color w:val="6484BF"/>
          <w:u w:val="single"/>
        </w:rPr>
        <w:t>Final</w:t>
      </w:r>
      <w:r w:rsidR="00A376B9" w:rsidRPr="00005390">
        <w:rPr>
          <w:color w:val="6484BF"/>
          <w:u w:val="single"/>
        </w:rPr>
        <w:t xml:space="preserve"> Terms &amp; Conditions</w:t>
      </w:r>
    </w:p>
    <w:p w14:paraId="107AF55E" w14:textId="77777777" w:rsidR="00A376B9" w:rsidRPr="00005390" w:rsidRDefault="00A376B9" w:rsidP="00A376B9">
      <w:pPr>
        <w:spacing w:before="360" w:after="120" w:line="180" w:lineRule="atLeast"/>
        <w:ind w:left="-851"/>
        <w:jc w:val="both"/>
        <w:rPr>
          <w:rFonts w:ascii="Arial" w:hAnsi="Arial" w:cs="Arial"/>
          <w:i/>
          <w:sz w:val="16"/>
          <w:szCs w:val="16"/>
        </w:rPr>
      </w:pPr>
      <w:r w:rsidRPr="00005390">
        <w:rPr>
          <w:rFonts w:ascii="Arial" w:hAnsi="Arial" w:cs="Arial"/>
          <w:i/>
          <w:sz w:val="16"/>
          <w:szCs w:val="16"/>
        </w:rPr>
        <w:t xml:space="preserve">This term sheet is provided for discussion and/or information purposes only and it does not constitute either an offer or the solicitation of an offer to enter into a </w:t>
      </w:r>
      <w:proofErr w:type="gramStart"/>
      <w:r w:rsidRPr="00005390">
        <w:rPr>
          <w:rFonts w:ascii="Arial" w:hAnsi="Arial" w:cs="Arial"/>
          <w:i/>
          <w:sz w:val="16"/>
          <w:szCs w:val="16"/>
        </w:rPr>
        <w:t>securities</w:t>
      </w:r>
      <w:proofErr w:type="gramEnd"/>
      <w:r w:rsidRPr="00005390">
        <w:rPr>
          <w:rFonts w:ascii="Arial" w:hAnsi="Arial" w:cs="Arial"/>
          <w:i/>
          <w:sz w:val="16"/>
          <w:szCs w:val="16"/>
        </w:rPr>
        <w:t xml:space="preserve"> or any other transaction.  It is not intended to set forth a final expression of the terms and conditions of any transaction and it may be amended, superseded or replaced in its entirety by subsequent term sheets or other summaries of terms and conditions.  This term sheet does not </w:t>
      </w:r>
      <w:proofErr w:type="gramStart"/>
      <w:r w:rsidRPr="00005390">
        <w:rPr>
          <w:rFonts w:ascii="Arial" w:hAnsi="Arial" w:cs="Arial"/>
          <w:i/>
          <w:sz w:val="16"/>
          <w:szCs w:val="16"/>
        </w:rPr>
        <w:t>purport</w:t>
      </w:r>
      <w:proofErr w:type="gramEnd"/>
      <w:r w:rsidRPr="00005390">
        <w:rPr>
          <w:rFonts w:ascii="Arial" w:hAnsi="Arial" w:cs="Arial"/>
          <w:i/>
          <w:sz w:val="16"/>
          <w:szCs w:val="16"/>
        </w:rPr>
        <w:t xml:space="preserve"> to identify or suggest </w:t>
      </w:r>
      <w:proofErr w:type="gramStart"/>
      <w:r w:rsidRPr="00005390">
        <w:rPr>
          <w:rFonts w:ascii="Arial" w:hAnsi="Arial" w:cs="Arial"/>
          <w:i/>
          <w:sz w:val="16"/>
          <w:szCs w:val="16"/>
        </w:rPr>
        <w:t>all of</w:t>
      </w:r>
      <w:proofErr w:type="gramEnd"/>
      <w:r w:rsidRPr="00005390">
        <w:rPr>
          <w:rFonts w:ascii="Arial" w:hAnsi="Arial" w:cs="Arial"/>
          <w:i/>
          <w:sz w:val="16"/>
          <w:szCs w:val="16"/>
        </w:rPr>
        <w:t xml:space="preserve"> the risks (direct or indirect) which may be associated with the proposed investment.</w:t>
      </w:r>
    </w:p>
    <w:p w14:paraId="5823D916" w14:textId="77777777" w:rsidR="00A376B9" w:rsidRPr="00005390" w:rsidRDefault="00A376B9" w:rsidP="00A376B9">
      <w:pPr>
        <w:spacing w:after="360"/>
        <w:ind w:left="-851"/>
        <w:rPr>
          <w:lang w:val="en-AU"/>
        </w:rPr>
      </w:pPr>
      <w:r w:rsidRPr="00005390">
        <w:rPr>
          <w:rFonts w:ascii="Arial" w:hAnsi="Arial" w:cs="Arial"/>
          <w:i/>
          <w:sz w:val="16"/>
          <w:szCs w:val="16"/>
        </w:rPr>
        <w:t xml:space="preserve">Terms used but not defined herein are as defined in the Prospectus for the </w:t>
      </w:r>
      <w:proofErr w:type="spellStart"/>
      <w:r w:rsidRPr="00005390">
        <w:rPr>
          <w:rFonts w:ascii="Arial" w:hAnsi="Arial" w:cs="Arial"/>
          <w:i/>
          <w:sz w:val="16"/>
          <w:szCs w:val="16"/>
        </w:rPr>
        <w:t>Programme</w:t>
      </w:r>
      <w:proofErr w:type="spellEnd"/>
      <w:r w:rsidRPr="00005390">
        <w:rPr>
          <w:rFonts w:ascii="Arial" w:hAnsi="Arial" w:cs="Arial"/>
          <w:i/>
          <w:sz w:val="16"/>
          <w:szCs w:val="16"/>
        </w:rPr>
        <w:t xml:space="preserve"> for the Issuance of Notes as updated and/or supplemented as of the issue date of the Notes (the "Prospectus").</w:t>
      </w:r>
    </w:p>
    <w:tbl>
      <w:tblPr>
        <w:tblW w:w="9923" w:type="dxa"/>
        <w:tblInd w:w="-743" w:type="dxa"/>
        <w:tblBorders>
          <w:top w:val="single" w:sz="6" w:space="0" w:color="auto"/>
          <w:bottom w:val="single" w:sz="4" w:space="0" w:color="auto"/>
        </w:tblBorders>
        <w:tblLook w:val="0000" w:firstRow="0" w:lastRow="0" w:firstColumn="0" w:lastColumn="0" w:noHBand="0" w:noVBand="0"/>
      </w:tblPr>
      <w:tblGrid>
        <w:gridCol w:w="2411"/>
        <w:gridCol w:w="7512"/>
      </w:tblGrid>
      <w:tr w:rsidR="00A376B9" w:rsidRPr="00005390" w14:paraId="0395A803" w14:textId="77777777" w:rsidTr="007C6F13">
        <w:tc>
          <w:tcPr>
            <w:tcW w:w="2411" w:type="dxa"/>
            <w:shd w:val="clear" w:color="auto" w:fill="auto"/>
          </w:tcPr>
          <w:p w14:paraId="724BF4D6" w14:textId="77777777" w:rsidR="00A376B9" w:rsidRPr="00005390" w:rsidRDefault="00A376B9" w:rsidP="00FB15CA">
            <w:pPr>
              <w:pStyle w:val="Tabletext"/>
              <w:rPr>
                <w:rFonts w:cs="Arial"/>
                <w:b/>
                <w:bCs w:val="0"/>
                <w:szCs w:val="18"/>
              </w:rPr>
            </w:pPr>
            <w:r w:rsidRPr="00005390">
              <w:rPr>
                <w:rFonts w:cs="Arial"/>
                <w:b/>
                <w:bCs w:val="0"/>
                <w:szCs w:val="18"/>
              </w:rPr>
              <w:t>Issuer:</w:t>
            </w:r>
          </w:p>
        </w:tc>
        <w:tc>
          <w:tcPr>
            <w:tcW w:w="7512" w:type="dxa"/>
            <w:shd w:val="clear" w:color="auto" w:fill="auto"/>
          </w:tcPr>
          <w:p w14:paraId="66FC9965" w14:textId="77777777" w:rsidR="00A376B9" w:rsidRPr="00005390" w:rsidRDefault="00A376B9" w:rsidP="00FB15CA">
            <w:pPr>
              <w:pStyle w:val="Tabletext"/>
              <w:rPr>
                <w:rFonts w:cs="Arial"/>
                <w:b/>
                <w:szCs w:val="18"/>
              </w:rPr>
            </w:pPr>
            <w:r w:rsidRPr="00005390">
              <w:rPr>
                <w:rFonts w:cs="Arial"/>
                <w:b/>
                <w:szCs w:val="18"/>
              </w:rPr>
              <w:t>Royal Bank of Canada (London Branch)</w:t>
            </w:r>
          </w:p>
        </w:tc>
      </w:tr>
      <w:tr w:rsidR="00D0063C" w:rsidRPr="00005390" w14:paraId="72515015" w14:textId="77777777" w:rsidTr="007C6F13">
        <w:tc>
          <w:tcPr>
            <w:tcW w:w="2411" w:type="dxa"/>
            <w:shd w:val="clear" w:color="auto" w:fill="auto"/>
          </w:tcPr>
          <w:p w14:paraId="1F5B3948" w14:textId="69966B90" w:rsidR="00D0063C" w:rsidRPr="00005390" w:rsidRDefault="00D0063C" w:rsidP="00D0063C">
            <w:pPr>
              <w:pStyle w:val="Tabletext"/>
              <w:rPr>
                <w:b/>
              </w:rPr>
            </w:pPr>
            <w:r w:rsidRPr="00005390">
              <w:rPr>
                <w:b/>
              </w:rPr>
              <w:t>Bail-</w:t>
            </w:r>
            <w:proofErr w:type="spellStart"/>
            <w:r w:rsidRPr="00005390">
              <w:rPr>
                <w:b/>
              </w:rPr>
              <w:t>inable</w:t>
            </w:r>
            <w:proofErr w:type="spellEnd"/>
            <w:r w:rsidRPr="00005390">
              <w:rPr>
                <w:b/>
              </w:rPr>
              <w:t xml:space="preserve"> Notes:</w:t>
            </w:r>
          </w:p>
        </w:tc>
        <w:tc>
          <w:tcPr>
            <w:tcW w:w="7512" w:type="dxa"/>
            <w:shd w:val="clear" w:color="auto" w:fill="auto"/>
          </w:tcPr>
          <w:p w14:paraId="09B14FDC" w14:textId="3660DB5E" w:rsidR="00D0063C" w:rsidRPr="00005390" w:rsidRDefault="00971C7D" w:rsidP="00D0063C">
            <w:pPr>
              <w:pStyle w:val="Tabletext"/>
              <w:rPr>
                <w:rFonts w:cs="Arial"/>
                <w:szCs w:val="18"/>
              </w:rPr>
            </w:pPr>
            <w:r>
              <w:rPr>
                <w:rFonts w:cs="Arial"/>
                <w:szCs w:val="18"/>
              </w:rPr>
              <w:t xml:space="preserve">The </w:t>
            </w:r>
            <w:r w:rsidR="00D0063C" w:rsidRPr="00005390">
              <w:rPr>
                <w:rFonts w:cs="Arial"/>
                <w:szCs w:val="18"/>
              </w:rPr>
              <w:t>Notes are subject to bail-in conversion in Canadian Bail-in Regime (see Base Prospectus for further information)</w:t>
            </w:r>
            <w:r w:rsidR="00D0063C" w:rsidRPr="00005390">
              <w:rPr>
                <w:rFonts w:cs="Arial"/>
                <w:szCs w:val="18"/>
                <w:vertAlign w:val="superscript"/>
              </w:rPr>
              <w:t>1</w:t>
            </w:r>
          </w:p>
        </w:tc>
      </w:tr>
      <w:tr w:rsidR="00D0063C" w:rsidRPr="00005390" w14:paraId="43A8CCBC" w14:textId="77777777" w:rsidTr="007C6F13">
        <w:tc>
          <w:tcPr>
            <w:tcW w:w="2411" w:type="dxa"/>
            <w:shd w:val="clear" w:color="auto" w:fill="auto"/>
          </w:tcPr>
          <w:p w14:paraId="347A396E" w14:textId="4AA96D4C" w:rsidR="00D0063C" w:rsidRPr="00005390" w:rsidRDefault="00D0063C" w:rsidP="00D0063C">
            <w:pPr>
              <w:pStyle w:val="Tabletext"/>
              <w:rPr>
                <w:rFonts w:cs="Arial"/>
                <w:b/>
                <w:bCs w:val="0"/>
                <w:szCs w:val="18"/>
              </w:rPr>
            </w:pPr>
            <w:r w:rsidRPr="00005390">
              <w:rPr>
                <w:b/>
              </w:rPr>
              <w:t xml:space="preserve">Rating: </w:t>
            </w:r>
          </w:p>
        </w:tc>
        <w:tc>
          <w:tcPr>
            <w:tcW w:w="7512" w:type="dxa"/>
            <w:shd w:val="clear" w:color="auto" w:fill="auto"/>
          </w:tcPr>
          <w:p w14:paraId="4FF9F7EB" w14:textId="2EF1CC50" w:rsidR="00D0063C" w:rsidRPr="00005390" w:rsidRDefault="00D0063C" w:rsidP="00D0063C">
            <w:pPr>
              <w:pStyle w:val="Tabletext"/>
              <w:rPr>
                <w:rFonts w:cs="Arial"/>
                <w:szCs w:val="18"/>
              </w:rPr>
            </w:pPr>
            <w:r w:rsidRPr="00005390">
              <w:rPr>
                <w:rFonts w:cs="Arial"/>
                <w:szCs w:val="18"/>
              </w:rPr>
              <w:t>A1 by Moody’s / A by Standard &amp; Poor’s</w:t>
            </w:r>
          </w:p>
        </w:tc>
      </w:tr>
      <w:tr w:rsidR="00A376B9" w:rsidRPr="00005390" w14:paraId="779B9A12" w14:textId="77777777" w:rsidTr="007C6F13">
        <w:tc>
          <w:tcPr>
            <w:tcW w:w="2411" w:type="dxa"/>
            <w:shd w:val="clear" w:color="auto" w:fill="auto"/>
          </w:tcPr>
          <w:p w14:paraId="3DC32462" w14:textId="77777777" w:rsidR="00A376B9" w:rsidRPr="00005390" w:rsidRDefault="00A376B9" w:rsidP="00FB15CA">
            <w:pPr>
              <w:pStyle w:val="Tabletext"/>
              <w:rPr>
                <w:rFonts w:cs="Arial"/>
                <w:b/>
                <w:bCs w:val="0"/>
                <w:szCs w:val="18"/>
              </w:rPr>
            </w:pPr>
            <w:r w:rsidRPr="00005390">
              <w:rPr>
                <w:rFonts w:cs="Arial"/>
                <w:b/>
                <w:bCs w:val="0"/>
                <w:szCs w:val="18"/>
              </w:rPr>
              <w:t>Instrument:</w:t>
            </w:r>
          </w:p>
        </w:tc>
        <w:tc>
          <w:tcPr>
            <w:tcW w:w="7512" w:type="dxa"/>
            <w:shd w:val="clear" w:color="auto" w:fill="auto"/>
          </w:tcPr>
          <w:p w14:paraId="0257A683" w14:textId="316C5559" w:rsidR="00A376B9" w:rsidRPr="00005390" w:rsidRDefault="00545CA5" w:rsidP="00FB15CA">
            <w:pPr>
              <w:pStyle w:val="Tabletext"/>
              <w:rPr>
                <w:rFonts w:cs="Arial"/>
                <w:szCs w:val="18"/>
              </w:rPr>
            </w:pPr>
            <w:r w:rsidRPr="00005390">
              <w:rPr>
                <w:rFonts w:cs="Arial"/>
                <w:szCs w:val="18"/>
              </w:rPr>
              <w:t>USD</w:t>
            </w:r>
            <w:r w:rsidR="000B35AE" w:rsidRPr="00005390">
              <w:rPr>
                <w:rFonts w:cs="Arial"/>
                <w:szCs w:val="18"/>
              </w:rPr>
              <w:t xml:space="preserve"> </w:t>
            </w:r>
            <w:r w:rsidR="00A376B9" w:rsidRPr="00005390">
              <w:rPr>
                <w:rFonts w:cs="Arial"/>
                <w:szCs w:val="18"/>
              </w:rPr>
              <w:t xml:space="preserve">Callable </w:t>
            </w:r>
            <w:proofErr w:type="gramStart"/>
            <w:r w:rsidR="00A376B9" w:rsidRPr="00005390">
              <w:rPr>
                <w:rFonts w:cs="Arial"/>
                <w:szCs w:val="18"/>
              </w:rPr>
              <w:t>Zero Coupon</w:t>
            </w:r>
            <w:proofErr w:type="gramEnd"/>
            <w:r w:rsidR="00A376B9" w:rsidRPr="00005390">
              <w:rPr>
                <w:rFonts w:cs="Arial"/>
                <w:szCs w:val="18"/>
              </w:rPr>
              <w:t xml:space="preserve"> Senior Notes</w:t>
            </w:r>
          </w:p>
        </w:tc>
      </w:tr>
      <w:tr w:rsidR="00A376B9" w:rsidRPr="00005390" w14:paraId="6E4F72C4" w14:textId="77777777" w:rsidTr="007C6F13">
        <w:tc>
          <w:tcPr>
            <w:tcW w:w="2411" w:type="dxa"/>
            <w:shd w:val="clear" w:color="auto" w:fill="auto"/>
          </w:tcPr>
          <w:p w14:paraId="2772A45F" w14:textId="77777777" w:rsidR="00A376B9" w:rsidRPr="00005390" w:rsidRDefault="00A376B9" w:rsidP="00FB15CA">
            <w:pPr>
              <w:pStyle w:val="Tabletext"/>
              <w:rPr>
                <w:rFonts w:cs="Arial"/>
                <w:b/>
                <w:bCs w:val="0"/>
                <w:szCs w:val="18"/>
              </w:rPr>
            </w:pPr>
            <w:r w:rsidRPr="00005390">
              <w:rPr>
                <w:rFonts w:cs="Arial"/>
                <w:b/>
                <w:bCs w:val="0"/>
                <w:szCs w:val="18"/>
              </w:rPr>
              <w:t>Issue Amount:</w:t>
            </w:r>
          </w:p>
        </w:tc>
        <w:tc>
          <w:tcPr>
            <w:tcW w:w="7512" w:type="dxa"/>
            <w:shd w:val="clear" w:color="auto" w:fill="auto"/>
          </w:tcPr>
          <w:p w14:paraId="7418966B" w14:textId="560C97CB" w:rsidR="00A376B9" w:rsidRPr="00005390" w:rsidRDefault="00545CA5" w:rsidP="00E004DB">
            <w:pPr>
              <w:pStyle w:val="Tabletext"/>
              <w:rPr>
                <w:rFonts w:cs="Arial"/>
                <w:szCs w:val="18"/>
              </w:rPr>
            </w:pPr>
            <w:r w:rsidRPr="00005390">
              <w:rPr>
                <w:rFonts w:cs="Arial"/>
                <w:szCs w:val="18"/>
              </w:rPr>
              <w:t>USD</w:t>
            </w:r>
            <w:r w:rsidR="00A376B9" w:rsidRPr="00005390">
              <w:rPr>
                <w:rFonts w:cs="Arial"/>
                <w:szCs w:val="18"/>
              </w:rPr>
              <w:t xml:space="preserve"> </w:t>
            </w:r>
            <w:r w:rsidR="0081406D">
              <w:rPr>
                <w:rFonts w:cs="Arial"/>
                <w:szCs w:val="18"/>
              </w:rPr>
              <w:t>1.0</w:t>
            </w:r>
            <w:r w:rsidR="00340DF1">
              <w:rPr>
                <w:rFonts w:cs="Arial"/>
                <w:szCs w:val="18"/>
              </w:rPr>
              <w:t xml:space="preserve"> </w:t>
            </w:r>
            <w:r w:rsidRPr="00005390">
              <w:rPr>
                <w:rFonts w:cs="Arial"/>
                <w:szCs w:val="18"/>
              </w:rPr>
              <w:t>million</w:t>
            </w:r>
          </w:p>
        </w:tc>
      </w:tr>
      <w:tr w:rsidR="00A376B9" w:rsidRPr="00005390" w14:paraId="5A24AFF7" w14:textId="77777777" w:rsidTr="007C6F13">
        <w:tc>
          <w:tcPr>
            <w:tcW w:w="2411" w:type="dxa"/>
            <w:shd w:val="clear" w:color="auto" w:fill="auto"/>
          </w:tcPr>
          <w:p w14:paraId="78F2B89E" w14:textId="77777777" w:rsidR="00A376B9" w:rsidRPr="00005390" w:rsidRDefault="00A376B9" w:rsidP="00FB15CA">
            <w:pPr>
              <w:pStyle w:val="Tabletext"/>
              <w:rPr>
                <w:rFonts w:cs="Arial"/>
                <w:b/>
                <w:bCs w:val="0"/>
                <w:szCs w:val="18"/>
              </w:rPr>
            </w:pPr>
            <w:r w:rsidRPr="00005390">
              <w:rPr>
                <w:rFonts w:cs="Arial"/>
                <w:b/>
                <w:bCs w:val="0"/>
                <w:szCs w:val="18"/>
              </w:rPr>
              <w:t>Status:</w:t>
            </w:r>
          </w:p>
        </w:tc>
        <w:tc>
          <w:tcPr>
            <w:tcW w:w="7512" w:type="dxa"/>
            <w:shd w:val="clear" w:color="auto" w:fill="auto"/>
          </w:tcPr>
          <w:p w14:paraId="12A18980" w14:textId="77777777" w:rsidR="00A376B9" w:rsidRPr="00005390" w:rsidRDefault="000E5CED" w:rsidP="00FB15CA">
            <w:pPr>
              <w:pStyle w:val="Tabletext"/>
              <w:rPr>
                <w:rFonts w:cs="Arial"/>
                <w:szCs w:val="18"/>
                <w:lang w:val="en-GB"/>
              </w:rPr>
            </w:pPr>
            <w:r w:rsidRPr="00005390">
              <w:rPr>
                <w:rFonts w:cs="Arial"/>
                <w:szCs w:val="18"/>
                <w:lang w:val="en-GB"/>
              </w:rPr>
              <w:t xml:space="preserve">Direct, unsecured and unsubordinated obligations of the Issuer which rank </w:t>
            </w:r>
            <w:proofErr w:type="spellStart"/>
            <w:r w:rsidRPr="00005390">
              <w:rPr>
                <w:rFonts w:cs="Arial"/>
                <w:szCs w:val="18"/>
                <w:lang w:val="en-GB"/>
              </w:rPr>
              <w:t>pari</w:t>
            </w:r>
            <w:proofErr w:type="spellEnd"/>
            <w:r w:rsidRPr="00005390">
              <w:rPr>
                <w:rFonts w:cs="Arial"/>
                <w:szCs w:val="18"/>
                <w:lang w:val="en-GB"/>
              </w:rPr>
              <w:t xml:space="preserve"> passu amongst themselves</w:t>
            </w:r>
          </w:p>
        </w:tc>
      </w:tr>
      <w:tr w:rsidR="00A376B9" w:rsidRPr="00005390" w14:paraId="1F2B66D1" w14:textId="77777777" w:rsidTr="007C6F13">
        <w:tc>
          <w:tcPr>
            <w:tcW w:w="2411" w:type="dxa"/>
            <w:shd w:val="clear" w:color="auto" w:fill="auto"/>
          </w:tcPr>
          <w:p w14:paraId="4C7F86F9" w14:textId="77777777" w:rsidR="00A376B9" w:rsidRPr="00005390" w:rsidRDefault="00A376B9" w:rsidP="00FB15CA">
            <w:pPr>
              <w:pStyle w:val="Tabletext"/>
              <w:rPr>
                <w:rFonts w:cs="Arial"/>
                <w:b/>
                <w:bCs w:val="0"/>
                <w:szCs w:val="18"/>
              </w:rPr>
            </w:pPr>
            <w:r w:rsidRPr="00005390">
              <w:rPr>
                <w:rFonts w:cs="Arial"/>
                <w:b/>
                <w:bCs w:val="0"/>
                <w:szCs w:val="18"/>
              </w:rPr>
              <w:t>Trade Date:</w:t>
            </w:r>
          </w:p>
        </w:tc>
        <w:tc>
          <w:tcPr>
            <w:tcW w:w="7512" w:type="dxa"/>
            <w:shd w:val="clear" w:color="auto" w:fill="auto"/>
          </w:tcPr>
          <w:p w14:paraId="5369DC0B" w14:textId="59DC0597" w:rsidR="00A376B9" w:rsidRPr="00005390" w:rsidRDefault="00B0237E" w:rsidP="00E004DB">
            <w:pPr>
              <w:pStyle w:val="Tabletext"/>
              <w:rPr>
                <w:rFonts w:cs="Arial"/>
                <w:szCs w:val="18"/>
              </w:rPr>
            </w:pPr>
            <w:r>
              <w:rPr>
                <w:rFonts w:cs="Arial"/>
                <w:szCs w:val="18"/>
              </w:rPr>
              <w:t>2</w:t>
            </w:r>
            <w:r w:rsidR="00A823EA">
              <w:rPr>
                <w:rFonts w:cs="Arial"/>
                <w:szCs w:val="18"/>
              </w:rPr>
              <w:t>4</w:t>
            </w:r>
            <w:r w:rsidR="00545CA5" w:rsidRPr="00005390">
              <w:rPr>
                <w:rFonts w:cs="Arial"/>
                <w:szCs w:val="18"/>
              </w:rPr>
              <w:t xml:space="preserve"> </w:t>
            </w:r>
            <w:r w:rsidR="00A823EA">
              <w:rPr>
                <w:rFonts w:cs="Arial"/>
                <w:szCs w:val="18"/>
              </w:rPr>
              <w:t>April</w:t>
            </w:r>
            <w:r w:rsidR="00B006BC" w:rsidRPr="00005390">
              <w:rPr>
                <w:rFonts w:cs="Arial"/>
                <w:szCs w:val="18"/>
              </w:rPr>
              <w:t xml:space="preserve"> </w:t>
            </w:r>
            <w:r w:rsidR="00545CA5" w:rsidRPr="00005390">
              <w:rPr>
                <w:rFonts w:cs="Arial"/>
                <w:szCs w:val="18"/>
              </w:rPr>
              <w:t>202</w:t>
            </w:r>
            <w:r>
              <w:rPr>
                <w:rFonts w:cs="Arial"/>
                <w:szCs w:val="18"/>
              </w:rPr>
              <w:t>6</w:t>
            </w:r>
          </w:p>
        </w:tc>
      </w:tr>
      <w:tr w:rsidR="00A376B9" w:rsidRPr="00005390" w14:paraId="6AAE8931" w14:textId="77777777" w:rsidTr="007C6F13">
        <w:tc>
          <w:tcPr>
            <w:tcW w:w="2411" w:type="dxa"/>
            <w:shd w:val="clear" w:color="auto" w:fill="auto"/>
          </w:tcPr>
          <w:p w14:paraId="5F142B14" w14:textId="37BC9FD4" w:rsidR="00A376B9" w:rsidRPr="00005390" w:rsidRDefault="00661734" w:rsidP="00FB15CA">
            <w:pPr>
              <w:pStyle w:val="Tabletext"/>
              <w:rPr>
                <w:rFonts w:cs="Arial"/>
                <w:b/>
                <w:bCs w:val="0"/>
                <w:szCs w:val="18"/>
              </w:rPr>
            </w:pPr>
            <w:r w:rsidRPr="00005390">
              <w:rPr>
                <w:rFonts w:cs="Arial"/>
                <w:b/>
                <w:bCs w:val="0"/>
                <w:szCs w:val="18"/>
              </w:rPr>
              <w:t>Issue</w:t>
            </w:r>
            <w:r w:rsidR="00A376B9" w:rsidRPr="00005390">
              <w:rPr>
                <w:rFonts w:cs="Arial"/>
                <w:b/>
                <w:bCs w:val="0"/>
                <w:szCs w:val="18"/>
              </w:rPr>
              <w:t xml:space="preserve"> Date:</w:t>
            </w:r>
          </w:p>
        </w:tc>
        <w:tc>
          <w:tcPr>
            <w:tcW w:w="7512" w:type="dxa"/>
            <w:shd w:val="clear" w:color="auto" w:fill="auto"/>
          </w:tcPr>
          <w:p w14:paraId="23C57F3A" w14:textId="0E070AAB" w:rsidR="00A376B9" w:rsidRPr="00005390" w:rsidRDefault="00D12F45" w:rsidP="00E004DB">
            <w:pPr>
              <w:pStyle w:val="Tabletext"/>
              <w:rPr>
                <w:rFonts w:cs="Arial"/>
                <w:szCs w:val="18"/>
              </w:rPr>
            </w:pPr>
            <w:r>
              <w:rPr>
                <w:rFonts w:cs="Arial"/>
                <w:szCs w:val="18"/>
              </w:rPr>
              <w:t>8</w:t>
            </w:r>
            <w:r w:rsidR="00545CA5" w:rsidRPr="00005390">
              <w:rPr>
                <w:rFonts w:cs="Arial"/>
                <w:szCs w:val="18"/>
              </w:rPr>
              <w:t xml:space="preserve"> </w:t>
            </w:r>
            <w:r>
              <w:rPr>
                <w:rFonts w:cs="Arial"/>
                <w:szCs w:val="18"/>
              </w:rPr>
              <w:t>May</w:t>
            </w:r>
            <w:r w:rsidR="00545CA5" w:rsidRPr="00005390">
              <w:rPr>
                <w:rFonts w:cs="Arial"/>
                <w:szCs w:val="18"/>
              </w:rPr>
              <w:t xml:space="preserve"> 202</w:t>
            </w:r>
            <w:r w:rsidR="00B0237E">
              <w:rPr>
                <w:rFonts w:cs="Arial"/>
                <w:szCs w:val="18"/>
              </w:rPr>
              <w:t>6</w:t>
            </w:r>
          </w:p>
        </w:tc>
      </w:tr>
      <w:tr w:rsidR="00D0063C" w:rsidRPr="00005390" w14:paraId="566E25CB" w14:textId="77777777" w:rsidTr="007C6F13">
        <w:tc>
          <w:tcPr>
            <w:tcW w:w="2411" w:type="dxa"/>
            <w:shd w:val="clear" w:color="auto" w:fill="auto"/>
          </w:tcPr>
          <w:p w14:paraId="44D214B0" w14:textId="2E7FE5D7" w:rsidR="00D0063C" w:rsidRPr="00005390" w:rsidRDefault="00D0063C" w:rsidP="00D0063C">
            <w:pPr>
              <w:pStyle w:val="Tabletext"/>
              <w:rPr>
                <w:rFonts w:cs="Arial"/>
                <w:b/>
                <w:bCs w:val="0"/>
                <w:szCs w:val="18"/>
              </w:rPr>
            </w:pPr>
            <w:r w:rsidRPr="00005390">
              <w:rPr>
                <w:rFonts w:cs="Arial"/>
                <w:b/>
                <w:bCs w:val="0"/>
                <w:szCs w:val="18"/>
              </w:rPr>
              <w:t>Maturity Date:</w:t>
            </w:r>
          </w:p>
        </w:tc>
        <w:tc>
          <w:tcPr>
            <w:tcW w:w="7512" w:type="dxa"/>
            <w:shd w:val="clear" w:color="auto" w:fill="auto"/>
          </w:tcPr>
          <w:p w14:paraId="4A706F64" w14:textId="1EF9BDE4" w:rsidR="00D0063C" w:rsidRPr="00005390" w:rsidRDefault="00D12F45" w:rsidP="00D0063C">
            <w:pPr>
              <w:pStyle w:val="Tabletext"/>
              <w:rPr>
                <w:rFonts w:cs="Arial"/>
                <w:szCs w:val="18"/>
              </w:rPr>
            </w:pPr>
            <w:r>
              <w:rPr>
                <w:rFonts w:cs="Arial"/>
                <w:szCs w:val="18"/>
              </w:rPr>
              <w:t>8</w:t>
            </w:r>
            <w:r w:rsidR="00545CA5" w:rsidRPr="00005390">
              <w:rPr>
                <w:rFonts w:cs="Arial"/>
                <w:szCs w:val="18"/>
              </w:rPr>
              <w:t xml:space="preserve"> </w:t>
            </w:r>
            <w:r>
              <w:rPr>
                <w:rFonts w:cs="Arial"/>
                <w:szCs w:val="18"/>
              </w:rPr>
              <w:t>May</w:t>
            </w:r>
            <w:r w:rsidR="00545CA5" w:rsidRPr="00005390">
              <w:rPr>
                <w:rFonts w:cs="Arial"/>
                <w:szCs w:val="18"/>
              </w:rPr>
              <w:t xml:space="preserve"> 20</w:t>
            </w:r>
            <w:r w:rsidR="00B0237E">
              <w:rPr>
                <w:rFonts w:cs="Arial"/>
                <w:szCs w:val="18"/>
              </w:rPr>
              <w:t>31</w:t>
            </w:r>
            <w:r w:rsidR="00D0063C" w:rsidRPr="00005390">
              <w:rPr>
                <w:rFonts w:cs="Arial"/>
                <w:szCs w:val="18"/>
              </w:rPr>
              <w:t xml:space="preserve">, </w:t>
            </w:r>
            <w:r w:rsidR="00D0063C" w:rsidRPr="00005390">
              <w:rPr>
                <w:bCs w:val="0"/>
                <w:szCs w:val="18"/>
              </w:rPr>
              <w:t>subject to Issuer Call Feature</w:t>
            </w:r>
            <w:r w:rsidR="007B0F28">
              <w:rPr>
                <w:bCs w:val="0"/>
                <w:szCs w:val="18"/>
              </w:rPr>
              <w:t xml:space="preserve"> after </w:t>
            </w:r>
            <w:r w:rsidR="00F40C25">
              <w:rPr>
                <w:bCs w:val="0"/>
                <w:szCs w:val="18"/>
              </w:rPr>
              <w:t>1</w:t>
            </w:r>
            <w:r w:rsidR="007B0F28">
              <w:rPr>
                <w:bCs w:val="0"/>
                <w:szCs w:val="18"/>
              </w:rPr>
              <w:t>Y</w:t>
            </w:r>
          </w:p>
        </w:tc>
      </w:tr>
      <w:tr w:rsidR="00A376B9" w:rsidRPr="00005390" w14:paraId="74848850" w14:textId="77777777" w:rsidTr="007C6F13">
        <w:tc>
          <w:tcPr>
            <w:tcW w:w="2411" w:type="dxa"/>
            <w:shd w:val="clear" w:color="auto" w:fill="auto"/>
          </w:tcPr>
          <w:p w14:paraId="5AACCE1C" w14:textId="77777777" w:rsidR="00A376B9" w:rsidRPr="00005390" w:rsidRDefault="00A376B9" w:rsidP="00FB15CA">
            <w:pPr>
              <w:pStyle w:val="Tabletext"/>
              <w:rPr>
                <w:rFonts w:cs="Arial"/>
                <w:b/>
                <w:bCs w:val="0"/>
                <w:szCs w:val="18"/>
              </w:rPr>
            </w:pPr>
            <w:r w:rsidRPr="00005390">
              <w:rPr>
                <w:rFonts w:cs="Arial"/>
                <w:b/>
                <w:bCs w:val="0"/>
                <w:szCs w:val="18"/>
              </w:rPr>
              <w:t xml:space="preserve">Coupon: </w:t>
            </w:r>
          </w:p>
        </w:tc>
        <w:tc>
          <w:tcPr>
            <w:tcW w:w="7512" w:type="dxa"/>
            <w:shd w:val="clear" w:color="auto" w:fill="auto"/>
          </w:tcPr>
          <w:p w14:paraId="326C018F" w14:textId="77777777" w:rsidR="00A376B9" w:rsidRPr="00005390" w:rsidRDefault="00A376B9" w:rsidP="00FB15CA">
            <w:pPr>
              <w:pStyle w:val="Tabletext"/>
              <w:rPr>
                <w:rFonts w:cs="Arial"/>
                <w:szCs w:val="18"/>
              </w:rPr>
            </w:pPr>
            <w:r w:rsidRPr="00005390">
              <w:rPr>
                <w:rFonts w:cs="Arial"/>
                <w:szCs w:val="18"/>
              </w:rPr>
              <w:t>Zero</w:t>
            </w:r>
          </w:p>
        </w:tc>
      </w:tr>
      <w:tr w:rsidR="00A376B9" w:rsidRPr="00005390" w14:paraId="22BEF63D" w14:textId="77777777" w:rsidTr="007C6F13">
        <w:tc>
          <w:tcPr>
            <w:tcW w:w="2411" w:type="dxa"/>
            <w:shd w:val="clear" w:color="auto" w:fill="auto"/>
          </w:tcPr>
          <w:p w14:paraId="1B6E5C33" w14:textId="77777777" w:rsidR="00A376B9" w:rsidRPr="00005390" w:rsidRDefault="00A376B9" w:rsidP="00FB15CA">
            <w:pPr>
              <w:pStyle w:val="Tabletext"/>
              <w:rPr>
                <w:rFonts w:cs="Arial"/>
                <w:b/>
                <w:bCs w:val="0"/>
                <w:szCs w:val="18"/>
              </w:rPr>
            </w:pPr>
            <w:r w:rsidRPr="00005390">
              <w:rPr>
                <w:rFonts w:cs="Arial"/>
                <w:b/>
                <w:bCs w:val="0"/>
                <w:szCs w:val="18"/>
              </w:rPr>
              <w:t>Day Count:</w:t>
            </w:r>
          </w:p>
        </w:tc>
        <w:tc>
          <w:tcPr>
            <w:tcW w:w="7512" w:type="dxa"/>
            <w:shd w:val="clear" w:color="auto" w:fill="auto"/>
          </w:tcPr>
          <w:p w14:paraId="73D3E32C" w14:textId="77777777" w:rsidR="00A376B9" w:rsidRPr="00005390" w:rsidRDefault="00A376B9" w:rsidP="00FB15CA">
            <w:pPr>
              <w:pStyle w:val="Tabletext"/>
              <w:rPr>
                <w:rFonts w:cs="Arial"/>
                <w:szCs w:val="18"/>
              </w:rPr>
            </w:pPr>
            <w:r w:rsidRPr="00005390">
              <w:rPr>
                <w:rFonts w:cs="Arial"/>
                <w:szCs w:val="18"/>
              </w:rPr>
              <w:t>30/360, Unadjusted</w:t>
            </w:r>
          </w:p>
        </w:tc>
      </w:tr>
      <w:tr w:rsidR="008852D4" w:rsidRPr="00005390" w14:paraId="5DCB156F" w14:textId="77777777" w:rsidTr="007C6F13">
        <w:tc>
          <w:tcPr>
            <w:tcW w:w="2411" w:type="dxa"/>
            <w:shd w:val="clear" w:color="auto" w:fill="auto"/>
          </w:tcPr>
          <w:p w14:paraId="2DA7A33A" w14:textId="7BA124F9" w:rsidR="008852D4" w:rsidRPr="00005390" w:rsidRDefault="008852D4" w:rsidP="00FB15CA">
            <w:pPr>
              <w:pStyle w:val="Tabletext"/>
              <w:rPr>
                <w:rFonts w:cs="Arial"/>
                <w:b/>
                <w:bCs w:val="0"/>
                <w:szCs w:val="18"/>
              </w:rPr>
            </w:pPr>
            <w:r w:rsidRPr="00005390">
              <w:rPr>
                <w:rFonts w:cs="Arial"/>
                <w:b/>
                <w:bCs w:val="0"/>
                <w:szCs w:val="18"/>
              </w:rPr>
              <w:t xml:space="preserve">Yield: </w:t>
            </w:r>
          </w:p>
        </w:tc>
        <w:tc>
          <w:tcPr>
            <w:tcW w:w="7512" w:type="dxa"/>
            <w:shd w:val="clear" w:color="auto" w:fill="auto"/>
          </w:tcPr>
          <w:p w14:paraId="132DC429" w14:textId="07EBD2EE" w:rsidR="008852D4" w:rsidRPr="00005390" w:rsidRDefault="008E6BC0" w:rsidP="006F255E">
            <w:pPr>
              <w:pStyle w:val="Tabletext"/>
              <w:rPr>
                <w:rFonts w:cs="Arial"/>
                <w:szCs w:val="18"/>
              </w:rPr>
            </w:pPr>
            <w:r>
              <w:rPr>
                <w:rFonts w:cs="Arial"/>
                <w:szCs w:val="18"/>
              </w:rPr>
              <w:t>4.</w:t>
            </w:r>
            <w:r w:rsidR="00D12F45">
              <w:rPr>
                <w:rFonts w:cs="Arial"/>
                <w:szCs w:val="18"/>
              </w:rPr>
              <w:t>86</w:t>
            </w:r>
            <w:r w:rsidR="00545CA5" w:rsidRPr="00005390">
              <w:rPr>
                <w:rFonts w:cs="Arial"/>
                <w:szCs w:val="18"/>
              </w:rPr>
              <w:t>%</w:t>
            </w:r>
            <w:r w:rsidR="008852D4" w:rsidRPr="00005390">
              <w:rPr>
                <w:rFonts w:cs="Arial"/>
                <w:szCs w:val="18"/>
              </w:rPr>
              <w:t xml:space="preserve"> per annum, simple interest, annually accumulated without compounding</w:t>
            </w:r>
          </w:p>
        </w:tc>
      </w:tr>
      <w:tr w:rsidR="00A376B9" w:rsidRPr="00005390" w14:paraId="55D78034" w14:textId="77777777" w:rsidTr="007C6F13">
        <w:tc>
          <w:tcPr>
            <w:tcW w:w="2411" w:type="dxa"/>
            <w:shd w:val="clear" w:color="auto" w:fill="auto"/>
          </w:tcPr>
          <w:p w14:paraId="42CC7F7E" w14:textId="77777777" w:rsidR="00A376B9" w:rsidRPr="00005390" w:rsidRDefault="00A376B9" w:rsidP="00FB15CA">
            <w:pPr>
              <w:pStyle w:val="Tabletext"/>
              <w:rPr>
                <w:rFonts w:cs="Arial"/>
                <w:b/>
                <w:bCs w:val="0"/>
                <w:szCs w:val="18"/>
              </w:rPr>
            </w:pPr>
            <w:r w:rsidRPr="00005390">
              <w:rPr>
                <w:rFonts w:cs="Arial"/>
                <w:b/>
                <w:bCs w:val="0"/>
                <w:szCs w:val="18"/>
              </w:rPr>
              <w:t>Issue Price:</w:t>
            </w:r>
          </w:p>
        </w:tc>
        <w:tc>
          <w:tcPr>
            <w:tcW w:w="7512" w:type="dxa"/>
            <w:shd w:val="clear" w:color="auto" w:fill="auto"/>
          </w:tcPr>
          <w:p w14:paraId="3A43CB35" w14:textId="77777777" w:rsidR="00A376B9" w:rsidRPr="00005390" w:rsidRDefault="00A376B9" w:rsidP="00FB15CA">
            <w:pPr>
              <w:pStyle w:val="Tabletext"/>
              <w:rPr>
                <w:rFonts w:cs="Arial"/>
                <w:szCs w:val="18"/>
              </w:rPr>
            </w:pPr>
            <w:r w:rsidRPr="00005390">
              <w:rPr>
                <w:rFonts w:cs="Arial"/>
                <w:szCs w:val="18"/>
              </w:rPr>
              <w:t>100.00 per cent.</w:t>
            </w:r>
          </w:p>
        </w:tc>
      </w:tr>
      <w:tr w:rsidR="00A376B9" w:rsidRPr="00005390" w14:paraId="25B4534E" w14:textId="77777777" w:rsidTr="007C6F13">
        <w:tc>
          <w:tcPr>
            <w:tcW w:w="2411" w:type="dxa"/>
            <w:shd w:val="clear" w:color="auto" w:fill="auto"/>
          </w:tcPr>
          <w:p w14:paraId="475E1D76" w14:textId="77777777" w:rsidR="00A376B9" w:rsidRPr="00005390" w:rsidRDefault="00A376B9" w:rsidP="00FB15CA">
            <w:pPr>
              <w:pStyle w:val="Tabletext"/>
              <w:rPr>
                <w:rFonts w:cs="Arial"/>
                <w:b/>
                <w:bCs w:val="0"/>
                <w:szCs w:val="18"/>
              </w:rPr>
            </w:pPr>
            <w:r w:rsidRPr="00005390">
              <w:rPr>
                <w:rFonts w:cs="Arial"/>
                <w:b/>
                <w:bCs w:val="0"/>
                <w:szCs w:val="18"/>
              </w:rPr>
              <w:t>Net Proceeds:</w:t>
            </w:r>
          </w:p>
        </w:tc>
        <w:tc>
          <w:tcPr>
            <w:tcW w:w="7512" w:type="dxa"/>
            <w:shd w:val="clear" w:color="auto" w:fill="auto"/>
          </w:tcPr>
          <w:p w14:paraId="009D1827" w14:textId="0ADAB348" w:rsidR="00A376B9" w:rsidRPr="00005390" w:rsidRDefault="00545CA5" w:rsidP="00E004DB">
            <w:pPr>
              <w:pStyle w:val="Tabletext"/>
              <w:rPr>
                <w:rFonts w:cs="Arial"/>
                <w:szCs w:val="18"/>
              </w:rPr>
            </w:pPr>
            <w:r w:rsidRPr="00005390">
              <w:rPr>
                <w:rFonts w:cs="Arial"/>
                <w:szCs w:val="18"/>
              </w:rPr>
              <w:t>USD</w:t>
            </w:r>
            <w:r w:rsidR="00D0063C" w:rsidRPr="00005390">
              <w:rPr>
                <w:rFonts w:cs="Arial"/>
                <w:szCs w:val="18"/>
              </w:rPr>
              <w:t xml:space="preserve"> </w:t>
            </w:r>
            <w:r w:rsidR="00022FB8">
              <w:rPr>
                <w:rFonts w:cs="Arial"/>
                <w:szCs w:val="18"/>
              </w:rPr>
              <w:t>1.0</w:t>
            </w:r>
            <w:r w:rsidRPr="00005390">
              <w:rPr>
                <w:rFonts w:cs="Arial"/>
                <w:szCs w:val="18"/>
              </w:rPr>
              <w:t xml:space="preserve"> million</w:t>
            </w:r>
          </w:p>
        </w:tc>
      </w:tr>
    </w:tbl>
    <w:p w14:paraId="3EE5F913" w14:textId="5DE6436F" w:rsidR="00A376B9" w:rsidRPr="00005390" w:rsidRDefault="00A376B9" w:rsidP="00A376B9">
      <w:pPr>
        <w:contextualSpacing/>
        <w:rPr>
          <w:b/>
          <w:sz w:val="16"/>
          <w:szCs w:val="16"/>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gridCol w:w="74"/>
      </w:tblGrid>
      <w:tr w:rsidR="002D5878" w:rsidRPr="00327349" w14:paraId="65410B37" w14:textId="77777777" w:rsidTr="00D31851">
        <w:trPr>
          <w:gridAfter w:val="1"/>
          <w:wAfter w:w="74" w:type="dxa"/>
        </w:trPr>
        <w:tc>
          <w:tcPr>
            <w:tcW w:w="9777" w:type="dxa"/>
          </w:tcPr>
          <w:p w14:paraId="3AA806C8" w14:textId="77777777" w:rsidR="002D5878" w:rsidRPr="00327349" w:rsidRDefault="002D5878" w:rsidP="00D31851">
            <w:pPr>
              <w:ind w:left="41"/>
              <w:contextualSpacing/>
              <w:rPr>
                <w:rFonts w:ascii="Arial" w:hAnsi="Arial" w:cs="Arial"/>
                <w:sz w:val="16"/>
                <w:szCs w:val="16"/>
              </w:rPr>
            </w:pPr>
            <w:r w:rsidRPr="00327349">
              <w:rPr>
                <w:rFonts w:ascii="Arial" w:hAnsi="Arial" w:cs="Arial"/>
                <w:b/>
                <w:sz w:val="16"/>
                <w:szCs w:val="16"/>
              </w:rPr>
              <w:t>1 Bail-</w:t>
            </w:r>
            <w:proofErr w:type="spellStart"/>
            <w:r w:rsidRPr="00327349">
              <w:rPr>
                <w:rFonts w:ascii="Arial" w:hAnsi="Arial" w:cs="Arial"/>
                <w:b/>
                <w:sz w:val="16"/>
                <w:szCs w:val="16"/>
              </w:rPr>
              <w:t>inable</w:t>
            </w:r>
            <w:proofErr w:type="spellEnd"/>
            <w:r w:rsidRPr="00327349">
              <w:rPr>
                <w:rFonts w:ascii="Arial" w:hAnsi="Arial" w:cs="Arial"/>
                <w:sz w:val="16"/>
                <w:szCs w:val="16"/>
              </w:rPr>
              <w:t>:   The Notes are bail-</w:t>
            </w:r>
            <w:proofErr w:type="spellStart"/>
            <w:r w:rsidRPr="00327349">
              <w:rPr>
                <w:rFonts w:ascii="Arial" w:hAnsi="Arial" w:cs="Arial"/>
                <w:sz w:val="16"/>
                <w:szCs w:val="16"/>
              </w:rPr>
              <w:t>inable</w:t>
            </w:r>
            <w:proofErr w:type="spellEnd"/>
            <w:r w:rsidRPr="00327349">
              <w:rPr>
                <w:rFonts w:ascii="Arial" w:hAnsi="Arial" w:cs="Arial"/>
                <w:sz w:val="16"/>
                <w:szCs w:val="16"/>
              </w:rPr>
              <w:t xml:space="preserve"> Notes subject to conversion in whole or in part – by means of a transaction or series of transactions and in one or more steps – into common shares of the Bank or any of its affiliates under subsection 39.2(2.3) of the Canada Deposit Insurance Corporation Act  (“CDIC Act”) and to variation or extinguishment in consequence, and subject to the application of the laws of the Province of Ontario and the federal laws of Canada applicable therein in respect of the operation of the CDIC Act with respect to the Notes.</w:t>
            </w:r>
          </w:p>
          <w:p w14:paraId="5B18EB24" w14:textId="77777777" w:rsidR="002D5878" w:rsidRPr="00327349" w:rsidRDefault="002D5878" w:rsidP="00D31851">
            <w:pPr>
              <w:ind w:left="41"/>
              <w:contextualSpacing/>
              <w:rPr>
                <w:rFonts w:ascii="Arial" w:hAnsi="Arial" w:cs="Arial"/>
                <w:sz w:val="16"/>
                <w:szCs w:val="16"/>
              </w:rPr>
            </w:pPr>
          </w:p>
          <w:p w14:paraId="66019EAA" w14:textId="77777777" w:rsidR="002D5878" w:rsidRPr="00327349" w:rsidRDefault="002D5878" w:rsidP="00D31851">
            <w:pPr>
              <w:ind w:left="41"/>
              <w:contextualSpacing/>
              <w:rPr>
                <w:rFonts w:ascii="Arial" w:hAnsi="Arial" w:cs="Arial"/>
                <w:sz w:val="16"/>
                <w:szCs w:val="16"/>
              </w:rPr>
            </w:pPr>
            <w:r w:rsidRPr="00327349">
              <w:rPr>
                <w:rFonts w:ascii="Arial" w:hAnsi="Arial" w:cs="Arial"/>
                <w:sz w:val="16"/>
                <w:szCs w:val="16"/>
              </w:rPr>
              <w:t>CDIC: The Notes do not constitute deposits that are insured under the CDIC Act</w:t>
            </w:r>
          </w:p>
          <w:p w14:paraId="6730D0BF" w14:textId="77777777" w:rsidR="002D5878" w:rsidRPr="00327349" w:rsidRDefault="002D5878" w:rsidP="00D31851">
            <w:pPr>
              <w:ind w:left="41"/>
              <w:contextualSpacing/>
              <w:rPr>
                <w:rFonts w:ascii="Arial" w:hAnsi="Arial" w:cs="Arial"/>
                <w:sz w:val="16"/>
                <w:szCs w:val="16"/>
              </w:rPr>
            </w:pPr>
          </w:p>
          <w:p w14:paraId="56C52C4B" w14:textId="2247FEB9" w:rsidR="002D5878" w:rsidRPr="00327349" w:rsidRDefault="002D5878" w:rsidP="00D31851">
            <w:pPr>
              <w:ind w:left="41"/>
              <w:contextualSpacing/>
              <w:rPr>
                <w:rFonts w:ascii="Arial" w:hAnsi="Arial" w:cs="Arial"/>
                <w:sz w:val="16"/>
                <w:szCs w:val="16"/>
              </w:rPr>
            </w:pPr>
            <w:r w:rsidRPr="00C7215A">
              <w:rPr>
                <w:rFonts w:ascii="Arial" w:hAnsi="Arial" w:cs="Arial"/>
                <w:sz w:val="16"/>
                <w:szCs w:val="16"/>
              </w:rPr>
              <w:t>For a description of Canadian bank resolution powers and the consequent risk factors attaching to the Notes reference is made to  the subsection entitled “</w:t>
            </w:r>
            <w:r>
              <w:rPr>
                <w:rFonts w:ascii="Arial" w:hAnsi="Arial" w:cs="Arial"/>
                <w:sz w:val="16"/>
                <w:szCs w:val="16"/>
              </w:rPr>
              <w:t xml:space="preserve"> </w:t>
            </w:r>
            <w:r w:rsidRPr="00C7215A">
              <w:rPr>
                <w:rFonts w:ascii="Arial" w:hAnsi="Arial" w:cs="Arial"/>
                <w:sz w:val="16"/>
                <w:szCs w:val="16"/>
              </w:rPr>
              <w:t>Risks relating to Bail-</w:t>
            </w:r>
            <w:proofErr w:type="spellStart"/>
            <w:r w:rsidRPr="00C7215A">
              <w:rPr>
                <w:rFonts w:ascii="Arial" w:hAnsi="Arial" w:cs="Arial"/>
                <w:sz w:val="16"/>
                <w:szCs w:val="16"/>
              </w:rPr>
              <w:t>inable</w:t>
            </w:r>
            <w:proofErr w:type="spellEnd"/>
            <w:r w:rsidRPr="00C7215A">
              <w:rPr>
                <w:rFonts w:ascii="Arial" w:hAnsi="Arial" w:cs="Arial"/>
                <w:sz w:val="16"/>
                <w:szCs w:val="16"/>
              </w:rPr>
              <w:t xml:space="preserve"> Securities” in the Risk Factors section  of the Structured Securities Base Prospectus dated July </w:t>
            </w:r>
            <w:r>
              <w:rPr>
                <w:rFonts w:ascii="Arial" w:hAnsi="Arial" w:cs="Arial"/>
                <w:sz w:val="16"/>
                <w:szCs w:val="16"/>
              </w:rPr>
              <w:t>09</w:t>
            </w:r>
            <w:r w:rsidRPr="00C7215A">
              <w:rPr>
                <w:rFonts w:ascii="Arial" w:hAnsi="Arial" w:cs="Arial"/>
                <w:sz w:val="16"/>
                <w:szCs w:val="16"/>
              </w:rPr>
              <w:t>, 202</w:t>
            </w:r>
            <w:r>
              <w:rPr>
                <w:rFonts w:ascii="Arial" w:hAnsi="Arial" w:cs="Arial"/>
                <w:sz w:val="16"/>
                <w:szCs w:val="16"/>
              </w:rPr>
              <w:t>5</w:t>
            </w:r>
            <w:r w:rsidR="008F7300">
              <w:t xml:space="preserve"> </w:t>
            </w:r>
            <w:r w:rsidR="008F7300" w:rsidRPr="008F7300">
              <w:rPr>
                <w:rFonts w:ascii="Arial" w:hAnsi="Arial" w:cs="Arial"/>
                <w:sz w:val="16"/>
                <w:szCs w:val="16"/>
              </w:rPr>
              <w:t>as supplemented by the supplemental prospectuses dated August 28, 2025 which together constitute a base prospectus (the “Base Prospectus”).</w:t>
            </w:r>
          </w:p>
        </w:tc>
      </w:tr>
      <w:tr w:rsidR="004B2D5F" w:rsidRPr="00005390" w14:paraId="6A976B2F" w14:textId="77777777" w:rsidTr="002D5878">
        <w:tc>
          <w:tcPr>
            <w:tcW w:w="9851" w:type="dxa"/>
            <w:gridSpan w:val="2"/>
          </w:tcPr>
          <w:p w14:paraId="07C6A43D" w14:textId="77777777" w:rsidR="004B2D5F" w:rsidRPr="00005390" w:rsidRDefault="004B2D5F" w:rsidP="002D5878">
            <w:pPr>
              <w:contextualSpacing/>
              <w:rPr>
                <w:rFonts w:ascii="Arial" w:hAnsi="Arial" w:cs="Arial"/>
                <w:b/>
                <w:sz w:val="16"/>
                <w:szCs w:val="16"/>
              </w:rPr>
            </w:pPr>
          </w:p>
        </w:tc>
      </w:tr>
    </w:tbl>
    <w:p w14:paraId="65B5F16F" w14:textId="77777777" w:rsidR="004B2D5F" w:rsidRPr="00005390" w:rsidRDefault="004B2D5F" w:rsidP="004B2D5F">
      <w:pPr>
        <w:ind w:left="-851" w:firstLine="2"/>
        <w:contextualSpacing/>
        <w:rPr>
          <w:b/>
          <w:sz w:val="16"/>
          <w:szCs w:val="16"/>
        </w:rPr>
      </w:pPr>
    </w:p>
    <w:p w14:paraId="17912C5A" w14:textId="77777777" w:rsidR="00A376B9" w:rsidRPr="00005390" w:rsidRDefault="00A376B9" w:rsidP="004B2D5F">
      <w:pPr>
        <w:ind w:left="-851" w:firstLine="2"/>
        <w:contextualSpacing/>
        <w:rPr>
          <w:b/>
          <w:sz w:val="16"/>
          <w:szCs w:val="16"/>
        </w:rPr>
      </w:pPr>
    </w:p>
    <w:p w14:paraId="375F3DC8" w14:textId="77777777" w:rsidR="00A376B9" w:rsidRPr="00005390" w:rsidRDefault="00A376B9" w:rsidP="00A376B9">
      <w:pPr>
        <w:ind w:left="-851"/>
        <w:contextualSpacing/>
        <w:rPr>
          <w:b/>
          <w:sz w:val="16"/>
          <w:szCs w:val="16"/>
        </w:rPr>
      </w:pPr>
    </w:p>
    <w:p w14:paraId="5BD1E743" w14:textId="77777777" w:rsidR="00A376B9" w:rsidRPr="00005390" w:rsidRDefault="00A376B9" w:rsidP="00A376B9">
      <w:pPr>
        <w:ind w:left="-851"/>
      </w:pPr>
      <w:r w:rsidRPr="00005390">
        <w:rPr>
          <w:bCs/>
        </w:rPr>
        <w:br w:type="page"/>
      </w:r>
    </w:p>
    <w:tbl>
      <w:tblPr>
        <w:tblW w:w="9743" w:type="dxa"/>
        <w:tblInd w:w="-743" w:type="dxa"/>
        <w:tblBorders>
          <w:top w:val="single" w:sz="6" w:space="0" w:color="auto"/>
          <w:bottom w:val="single" w:sz="4" w:space="0" w:color="auto"/>
        </w:tblBorders>
        <w:tblLayout w:type="fixed"/>
        <w:tblLook w:val="0000" w:firstRow="0" w:lastRow="0" w:firstColumn="0" w:lastColumn="0" w:noHBand="0" w:noVBand="0"/>
      </w:tblPr>
      <w:tblGrid>
        <w:gridCol w:w="1733"/>
        <w:gridCol w:w="8010"/>
      </w:tblGrid>
      <w:tr w:rsidR="00A376B9" w:rsidRPr="00005390" w14:paraId="0DA4D65D" w14:textId="77777777" w:rsidTr="008F7300">
        <w:tc>
          <w:tcPr>
            <w:tcW w:w="1733" w:type="dxa"/>
            <w:shd w:val="clear" w:color="auto" w:fill="auto"/>
          </w:tcPr>
          <w:p w14:paraId="1EA1EBBB" w14:textId="77777777" w:rsidR="00A376B9" w:rsidRPr="00005390" w:rsidRDefault="00A376B9" w:rsidP="00FB15CA">
            <w:pPr>
              <w:pStyle w:val="Tabletext"/>
              <w:rPr>
                <w:rFonts w:cs="Arial"/>
                <w:b/>
                <w:bCs w:val="0"/>
                <w:szCs w:val="18"/>
              </w:rPr>
            </w:pPr>
            <w:r w:rsidRPr="00005390">
              <w:rPr>
                <w:rFonts w:cs="Arial"/>
                <w:b/>
                <w:bCs w:val="0"/>
                <w:szCs w:val="18"/>
              </w:rPr>
              <w:lastRenderedPageBreak/>
              <w:t>Redemption Amount Schedule:</w:t>
            </w:r>
          </w:p>
        </w:tc>
        <w:tc>
          <w:tcPr>
            <w:tcW w:w="8010" w:type="dxa"/>
            <w:shd w:val="clear" w:color="auto" w:fill="auto"/>
          </w:tcPr>
          <w:p w14:paraId="44DD181C" w14:textId="77777777" w:rsidR="00A376B9" w:rsidRPr="00005390" w:rsidRDefault="00A376B9" w:rsidP="00FB15CA">
            <w:pPr>
              <w:autoSpaceDE w:val="0"/>
              <w:autoSpaceDN w:val="0"/>
              <w:adjustRightInd w:val="0"/>
              <w:spacing w:before="140" w:line="240" w:lineRule="atLeast"/>
              <w:rPr>
                <w:rFonts w:ascii="Arial" w:eastAsia="SimSun" w:hAnsi="Arial" w:cs="Arial"/>
                <w:sz w:val="18"/>
                <w:szCs w:val="18"/>
                <w:lang w:val="en-AU" w:eastAsia="zh-CN"/>
              </w:rPr>
            </w:pPr>
            <w:r w:rsidRPr="00005390">
              <w:rPr>
                <w:rFonts w:ascii="Arial" w:eastAsia="SimSun" w:hAnsi="Arial" w:cs="Arial"/>
                <w:sz w:val="18"/>
                <w:szCs w:val="18"/>
                <w:lang w:val="en-AU" w:eastAsia="zh-CN"/>
              </w:rPr>
              <w:t xml:space="preserve">Final Redemption Amount if Maturity Date is subject to </w:t>
            </w:r>
            <w:r w:rsidR="001035B9" w:rsidRPr="00005390">
              <w:rPr>
                <w:rFonts w:ascii="Arial" w:eastAsia="SimSun" w:hAnsi="Arial" w:cs="Arial"/>
                <w:sz w:val="18"/>
                <w:szCs w:val="18"/>
                <w:lang w:val="en-AU" w:eastAsia="zh-CN"/>
              </w:rPr>
              <w:t xml:space="preserve">Issuer </w:t>
            </w:r>
            <w:r w:rsidR="0001628C" w:rsidRPr="00005390">
              <w:rPr>
                <w:rFonts w:ascii="Arial" w:eastAsia="SimSun" w:hAnsi="Arial" w:cs="Arial"/>
                <w:sz w:val="18"/>
                <w:szCs w:val="18"/>
                <w:lang w:val="en-AU" w:eastAsia="zh-CN"/>
              </w:rPr>
              <w:t>Call Feature</w:t>
            </w:r>
            <w:r w:rsidR="00401F5E" w:rsidRPr="00005390">
              <w:rPr>
                <w:rFonts w:ascii="Arial" w:eastAsia="SimSun" w:hAnsi="Arial" w:cs="Arial"/>
                <w:sz w:val="18"/>
                <w:szCs w:val="18"/>
                <w:lang w:val="en-AU" w:eastAsia="zh-CN"/>
              </w:rPr>
              <w:t xml:space="preserve"> </w:t>
            </w:r>
            <w:r w:rsidRPr="00005390">
              <w:rPr>
                <w:rFonts w:ascii="Arial" w:eastAsia="SimSun" w:hAnsi="Arial" w:cs="Arial"/>
                <w:sz w:val="18"/>
                <w:szCs w:val="18"/>
                <w:lang w:val="en-AU" w:eastAsia="zh-CN"/>
              </w:rPr>
              <w:t>(per</w:t>
            </w:r>
          </w:p>
          <w:p w14:paraId="70F2C655" w14:textId="3695A1D4" w:rsidR="00A376B9" w:rsidRDefault="00A376B9" w:rsidP="00FB15CA">
            <w:pPr>
              <w:pStyle w:val="Tabletext"/>
              <w:spacing w:after="120"/>
              <w:ind w:right="23"/>
              <w:rPr>
                <w:rFonts w:eastAsia="SimSun" w:cs="Arial"/>
                <w:szCs w:val="18"/>
                <w:lang w:eastAsia="zh-CN"/>
              </w:rPr>
            </w:pPr>
            <w:r w:rsidRPr="00005390">
              <w:rPr>
                <w:rFonts w:eastAsia="SimSun" w:cs="Arial"/>
                <w:szCs w:val="18"/>
                <w:lang w:eastAsia="zh-CN"/>
              </w:rPr>
              <w:t>denomination):</w:t>
            </w:r>
          </w:p>
          <w:p w14:paraId="14A9967A" w14:textId="77777777" w:rsidR="00A823EA" w:rsidRDefault="00A823EA" w:rsidP="00A823EA">
            <w:pPr>
              <w:rPr>
                <w:lang w:val="en-AU" w:eastAsia="zh-CN"/>
              </w:rPr>
            </w:pPr>
          </w:p>
          <w:tbl>
            <w:tblPr>
              <w:tblW w:w="7642" w:type="dxa"/>
              <w:tblLook w:val="04A0" w:firstRow="1" w:lastRow="0" w:firstColumn="1" w:lastColumn="0" w:noHBand="0" w:noVBand="1"/>
            </w:tblPr>
            <w:tblGrid>
              <w:gridCol w:w="1596"/>
              <w:gridCol w:w="1953"/>
              <w:gridCol w:w="1746"/>
              <w:gridCol w:w="2347"/>
            </w:tblGrid>
            <w:tr w:rsidR="00A823EA" w:rsidRPr="00A823EA" w14:paraId="3DD2D630" w14:textId="77777777" w:rsidTr="00A823EA">
              <w:trPr>
                <w:trHeight w:val="788"/>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00CA1" w14:textId="77777777" w:rsidR="00A823EA" w:rsidRPr="00A823EA" w:rsidRDefault="00A823EA" w:rsidP="00A823EA">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Date</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70212B2A" w14:textId="77777777" w:rsidR="00A823EA" w:rsidRPr="00A823EA" w:rsidRDefault="00A823EA" w:rsidP="00A823EA">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Redemption Price</w:t>
                  </w:r>
                </w:p>
              </w:tc>
              <w:tc>
                <w:tcPr>
                  <w:tcW w:w="1746" w:type="dxa"/>
                  <w:tcBorders>
                    <w:top w:val="single" w:sz="4" w:space="0" w:color="auto"/>
                    <w:left w:val="nil"/>
                    <w:bottom w:val="single" w:sz="4" w:space="0" w:color="auto"/>
                    <w:right w:val="single" w:sz="4" w:space="0" w:color="auto"/>
                  </w:tcBorders>
                  <w:shd w:val="clear" w:color="auto" w:fill="auto"/>
                  <w:vAlign w:val="center"/>
                  <w:hideMark/>
                </w:tcPr>
                <w:p w14:paraId="4381F0AE" w14:textId="77777777" w:rsidR="00A823EA" w:rsidRPr="00A823EA" w:rsidRDefault="00A823EA" w:rsidP="00A823EA">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Cash Amount (Per Issue Amount)</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14:paraId="6AFB17F4" w14:textId="77777777" w:rsidR="00A823EA" w:rsidRPr="00A823EA" w:rsidRDefault="00A823EA" w:rsidP="00A823EA">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Cash Amount (Per Denomination)</w:t>
                  </w:r>
                </w:p>
              </w:tc>
            </w:tr>
            <w:tr w:rsidR="008630C4" w:rsidRPr="00A823EA" w14:paraId="6B9CCD03" w14:textId="77777777" w:rsidTr="00A823EA">
              <w:trPr>
                <w:trHeight w:val="303"/>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5AA32983"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08-May-2027</w:t>
                  </w:r>
                </w:p>
              </w:tc>
              <w:tc>
                <w:tcPr>
                  <w:tcW w:w="1953" w:type="dxa"/>
                  <w:tcBorders>
                    <w:top w:val="nil"/>
                    <w:left w:val="nil"/>
                    <w:bottom w:val="single" w:sz="4" w:space="0" w:color="auto"/>
                    <w:right w:val="single" w:sz="4" w:space="0" w:color="auto"/>
                  </w:tcBorders>
                  <w:shd w:val="clear" w:color="auto" w:fill="auto"/>
                  <w:noWrap/>
                  <w:vAlign w:val="bottom"/>
                  <w:hideMark/>
                </w:tcPr>
                <w:p w14:paraId="407C77CF"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104.860000%</w:t>
                  </w:r>
                </w:p>
              </w:tc>
              <w:tc>
                <w:tcPr>
                  <w:tcW w:w="1746" w:type="dxa"/>
                  <w:tcBorders>
                    <w:top w:val="nil"/>
                    <w:left w:val="nil"/>
                    <w:bottom w:val="single" w:sz="4" w:space="0" w:color="auto"/>
                    <w:right w:val="single" w:sz="4" w:space="0" w:color="auto"/>
                  </w:tcBorders>
                  <w:shd w:val="clear" w:color="auto" w:fill="auto"/>
                  <w:noWrap/>
                  <w:vAlign w:val="bottom"/>
                  <w:hideMark/>
                </w:tcPr>
                <w:p w14:paraId="020D054A" w14:textId="539EE25B" w:rsidR="008630C4" w:rsidRPr="00A823EA" w:rsidRDefault="008630C4" w:rsidP="008630C4">
                  <w:pPr>
                    <w:jc w:val="center"/>
                    <w:rPr>
                      <w:rFonts w:ascii="Calibri" w:eastAsia="Times New Roman" w:hAnsi="Calibri" w:cs="Calibri"/>
                      <w:color w:val="000000"/>
                      <w:sz w:val="22"/>
                      <w:szCs w:val="22"/>
                    </w:rPr>
                  </w:pPr>
                  <w:r w:rsidRPr="0026681D">
                    <w:rPr>
                      <w:rFonts w:ascii="Calibri" w:eastAsia="Times New Roman" w:hAnsi="Calibri" w:cs="Calibri"/>
                      <w:color w:val="000000"/>
                      <w:sz w:val="22"/>
                      <w:szCs w:val="22"/>
                    </w:rPr>
                    <w:t>1,048,600.00</w:t>
                  </w:r>
                </w:p>
              </w:tc>
              <w:tc>
                <w:tcPr>
                  <w:tcW w:w="2347" w:type="dxa"/>
                  <w:tcBorders>
                    <w:top w:val="nil"/>
                    <w:left w:val="nil"/>
                    <w:bottom w:val="single" w:sz="4" w:space="0" w:color="auto"/>
                    <w:right w:val="single" w:sz="4" w:space="0" w:color="auto"/>
                  </w:tcBorders>
                  <w:shd w:val="clear" w:color="auto" w:fill="auto"/>
                  <w:noWrap/>
                  <w:vAlign w:val="bottom"/>
                  <w:hideMark/>
                </w:tcPr>
                <w:p w14:paraId="48908721"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10,486.00</w:t>
                  </w:r>
                </w:p>
              </w:tc>
            </w:tr>
            <w:tr w:rsidR="008630C4" w:rsidRPr="00A823EA" w14:paraId="5ED79B1A" w14:textId="77777777" w:rsidTr="00A823EA">
              <w:trPr>
                <w:trHeight w:val="303"/>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7971DCA1"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08-May-2028</w:t>
                  </w:r>
                </w:p>
              </w:tc>
              <w:tc>
                <w:tcPr>
                  <w:tcW w:w="1953" w:type="dxa"/>
                  <w:tcBorders>
                    <w:top w:val="nil"/>
                    <w:left w:val="nil"/>
                    <w:bottom w:val="single" w:sz="4" w:space="0" w:color="auto"/>
                    <w:right w:val="single" w:sz="4" w:space="0" w:color="auto"/>
                  </w:tcBorders>
                  <w:shd w:val="clear" w:color="auto" w:fill="auto"/>
                  <w:noWrap/>
                  <w:vAlign w:val="bottom"/>
                  <w:hideMark/>
                </w:tcPr>
                <w:p w14:paraId="202A0619"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109.720000%</w:t>
                  </w:r>
                </w:p>
              </w:tc>
              <w:tc>
                <w:tcPr>
                  <w:tcW w:w="1746" w:type="dxa"/>
                  <w:tcBorders>
                    <w:top w:val="nil"/>
                    <w:left w:val="nil"/>
                    <w:bottom w:val="single" w:sz="4" w:space="0" w:color="auto"/>
                    <w:right w:val="single" w:sz="4" w:space="0" w:color="auto"/>
                  </w:tcBorders>
                  <w:shd w:val="clear" w:color="auto" w:fill="auto"/>
                  <w:noWrap/>
                  <w:vAlign w:val="bottom"/>
                  <w:hideMark/>
                </w:tcPr>
                <w:p w14:paraId="0738BF6F" w14:textId="7800227F" w:rsidR="008630C4" w:rsidRPr="00A823EA" w:rsidRDefault="008630C4" w:rsidP="008630C4">
                  <w:pPr>
                    <w:jc w:val="center"/>
                    <w:rPr>
                      <w:rFonts w:ascii="Calibri" w:eastAsia="Times New Roman" w:hAnsi="Calibri" w:cs="Calibri"/>
                      <w:color w:val="000000"/>
                      <w:sz w:val="22"/>
                      <w:szCs w:val="22"/>
                    </w:rPr>
                  </w:pPr>
                  <w:r w:rsidRPr="0026681D">
                    <w:rPr>
                      <w:rFonts w:ascii="Calibri" w:eastAsia="Times New Roman" w:hAnsi="Calibri" w:cs="Calibri"/>
                      <w:color w:val="000000"/>
                      <w:sz w:val="22"/>
                      <w:szCs w:val="22"/>
                    </w:rPr>
                    <w:t>1,097,200.00</w:t>
                  </w:r>
                </w:p>
              </w:tc>
              <w:tc>
                <w:tcPr>
                  <w:tcW w:w="2347" w:type="dxa"/>
                  <w:tcBorders>
                    <w:top w:val="nil"/>
                    <w:left w:val="nil"/>
                    <w:bottom w:val="single" w:sz="4" w:space="0" w:color="auto"/>
                    <w:right w:val="single" w:sz="4" w:space="0" w:color="auto"/>
                  </w:tcBorders>
                  <w:shd w:val="clear" w:color="auto" w:fill="auto"/>
                  <w:noWrap/>
                  <w:vAlign w:val="bottom"/>
                  <w:hideMark/>
                </w:tcPr>
                <w:p w14:paraId="2714AA57"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10,972.00</w:t>
                  </w:r>
                </w:p>
              </w:tc>
            </w:tr>
            <w:tr w:rsidR="008630C4" w:rsidRPr="00A823EA" w14:paraId="66DBC674" w14:textId="77777777" w:rsidTr="00A823EA">
              <w:trPr>
                <w:trHeight w:val="303"/>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106629F0"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08-May-2029</w:t>
                  </w:r>
                </w:p>
              </w:tc>
              <w:tc>
                <w:tcPr>
                  <w:tcW w:w="1953" w:type="dxa"/>
                  <w:tcBorders>
                    <w:top w:val="nil"/>
                    <w:left w:val="nil"/>
                    <w:bottom w:val="single" w:sz="4" w:space="0" w:color="auto"/>
                    <w:right w:val="single" w:sz="4" w:space="0" w:color="auto"/>
                  </w:tcBorders>
                  <w:shd w:val="clear" w:color="auto" w:fill="auto"/>
                  <w:noWrap/>
                  <w:vAlign w:val="bottom"/>
                  <w:hideMark/>
                </w:tcPr>
                <w:p w14:paraId="3A638879"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114.580000%</w:t>
                  </w:r>
                </w:p>
              </w:tc>
              <w:tc>
                <w:tcPr>
                  <w:tcW w:w="1746" w:type="dxa"/>
                  <w:tcBorders>
                    <w:top w:val="nil"/>
                    <w:left w:val="nil"/>
                    <w:bottom w:val="single" w:sz="4" w:space="0" w:color="auto"/>
                    <w:right w:val="single" w:sz="4" w:space="0" w:color="auto"/>
                  </w:tcBorders>
                  <w:shd w:val="clear" w:color="auto" w:fill="auto"/>
                  <w:noWrap/>
                  <w:vAlign w:val="bottom"/>
                  <w:hideMark/>
                </w:tcPr>
                <w:p w14:paraId="17774AD9" w14:textId="6324D7C0" w:rsidR="008630C4" w:rsidRPr="00A823EA" w:rsidRDefault="008630C4" w:rsidP="008630C4">
                  <w:pPr>
                    <w:jc w:val="center"/>
                    <w:rPr>
                      <w:rFonts w:ascii="Calibri" w:eastAsia="Times New Roman" w:hAnsi="Calibri" w:cs="Calibri"/>
                      <w:color w:val="000000"/>
                      <w:sz w:val="22"/>
                      <w:szCs w:val="22"/>
                    </w:rPr>
                  </w:pPr>
                  <w:r w:rsidRPr="0026681D">
                    <w:rPr>
                      <w:rFonts w:ascii="Calibri" w:eastAsia="Times New Roman" w:hAnsi="Calibri" w:cs="Calibri"/>
                      <w:color w:val="000000"/>
                      <w:sz w:val="22"/>
                      <w:szCs w:val="22"/>
                    </w:rPr>
                    <w:t>1,145,800.00</w:t>
                  </w:r>
                </w:p>
              </w:tc>
              <w:tc>
                <w:tcPr>
                  <w:tcW w:w="2347" w:type="dxa"/>
                  <w:tcBorders>
                    <w:top w:val="nil"/>
                    <w:left w:val="nil"/>
                    <w:bottom w:val="single" w:sz="4" w:space="0" w:color="auto"/>
                    <w:right w:val="single" w:sz="4" w:space="0" w:color="auto"/>
                  </w:tcBorders>
                  <w:shd w:val="clear" w:color="auto" w:fill="auto"/>
                  <w:noWrap/>
                  <w:vAlign w:val="bottom"/>
                  <w:hideMark/>
                </w:tcPr>
                <w:p w14:paraId="567F25D8"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11,458.00</w:t>
                  </w:r>
                </w:p>
              </w:tc>
            </w:tr>
            <w:tr w:rsidR="008630C4" w:rsidRPr="00A823EA" w14:paraId="0D2361C0" w14:textId="77777777" w:rsidTr="00A823EA">
              <w:trPr>
                <w:trHeight w:val="303"/>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18593B11"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08-May-2030</w:t>
                  </w:r>
                </w:p>
              </w:tc>
              <w:tc>
                <w:tcPr>
                  <w:tcW w:w="1953" w:type="dxa"/>
                  <w:tcBorders>
                    <w:top w:val="nil"/>
                    <w:left w:val="nil"/>
                    <w:bottom w:val="single" w:sz="4" w:space="0" w:color="auto"/>
                    <w:right w:val="single" w:sz="4" w:space="0" w:color="auto"/>
                  </w:tcBorders>
                  <w:shd w:val="clear" w:color="auto" w:fill="auto"/>
                  <w:noWrap/>
                  <w:vAlign w:val="bottom"/>
                  <w:hideMark/>
                </w:tcPr>
                <w:p w14:paraId="323BB65F"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119.440000%</w:t>
                  </w:r>
                </w:p>
              </w:tc>
              <w:tc>
                <w:tcPr>
                  <w:tcW w:w="1746" w:type="dxa"/>
                  <w:tcBorders>
                    <w:top w:val="nil"/>
                    <w:left w:val="nil"/>
                    <w:bottom w:val="single" w:sz="4" w:space="0" w:color="auto"/>
                    <w:right w:val="single" w:sz="4" w:space="0" w:color="auto"/>
                  </w:tcBorders>
                  <w:shd w:val="clear" w:color="auto" w:fill="auto"/>
                  <w:noWrap/>
                  <w:vAlign w:val="bottom"/>
                  <w:hideMark/>
                </w:tcPr>
                <w:p w14:paraId="37D02105" w14:textId="1ECB3342" w:rsidR="008630C4" w:rsidRPr="00A823EA" w:rsidRDefault="008630C4" w:rsidP="008630C4">
                  <w:pPr>
                    <w:jc w:val="center"/>
                    <w:rPr>
                      <w:rFonts w:ascii="Calibri" w:eastAsia="Times New Roman" w:hAnsi="Calibri" w:cs="Calibri"/>
                      <w:color w:val="000000"/>
                      <w:sz w:val="22"/>
                      <w:szCs w:val="22"/>
                    </w:rPr>
                  </w:pPr>
                  <w:r w:rsidRPr="0026681D">
                    <w:rPr>
                      <w:rFonts w:ascii="Calibri" w:eastAsia="Times New Roman" w:hAnsi="Calibri" w:cs="Calibri"/>
                      <w:color w:val="000000"/>
                      <w:sz w:val="22"/>
                      <w:szCs w:val="22"/>
                    </w:rPr>
                    <w:t>1,194,400.00</w:t>
                  </w:r>
                </w:p>
              </w:tc>
              <w:tc>
                <w:tcPr>
                  <w:tcW w:w="2347" w:type="dxa"/>
                  <w:tcBorders>
                    <w:top w:val="nil"/>
                    <w:left w:val="nil"/>
                    <w:bottom w:val="single" w:sz="4" w:space="0" w:color="auto"/>
                    <w:right w:val="single" w:sz="4" w:space="0" w:color="auto"/>
                  </w:tcBorders>
                  <w:shd w:val="clear" w:color="auto" w:fill="auto"/>
                  <w:noWrap/>
                  <w:vAlign w:val="bottom"/>
                  <w:hideMark/>
                </w:tcPr>
                <w:p w14:paraId="468F93BC"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11,944.00</w:t>
                  </w:r>
                </w:p>
              </w:tc>
            </w:tr>
            <w:tr w:rsidR="008630C4" w:rsidRPr="00A823EA" w14:paraId="1F5FF8A1" w14:textId="77777777" w:rsidTr="00A823EA">
              <w:trPr>
                <w:trHeight w:val="303"/>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2169BD0C"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08-May-2031</w:t>
                  </w:r>
                </w:p>
              </w:tc>
              <w:tc>
                <w:tcPr>
                  <w:tcW w:w="1953" w:type="dxa"/>
                  <w:tcBorders>
                    <w:top w:val="nil"/>
                    <w:left w:val="nil"/>
                    <w:bottom w:val="single" w:sz="4" w:space="0" w:color="auto"/>
                    <w:right w:val="single" w:sz="4" w:space="0" w:color="auto"/>
                  </w:tcBorders>
                  <w:shd w:val="clear" w:color="auto" w:fill="auto"/>
                  <w:noWrap/>
                  <w:vAlign w:val="bottom"/>
                  <w:hideMark/>
                </w:tcPr>
                <w:p w14:paraId="708634F9"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124.300000%</w:t>
                  </w:r>
                </w:p>
              </w:tc>
              <w:tc>
                <w:tcPr>
                  <w:tcW w:w="1746" w:type="dxa"/>
                  <w:tcBorders>
                    <w:top w:val="nil"/>
                    <w:left w:val="nil"/>
                    <w:bottom w:val="single" w:sz="4" w:space="0" w:color="auto"/>
                    <w:right w:val="single" w:sz="4" w:space="0" w:color="auto"/>
                  </w:tcBorders>
                  <w:shd w:val="clear" w:color="auto" w:fill="auto"/>
                  <w:noWrap/>
                  <w:vAlign w:val="bottom"/>
                  <w:hideMark/>
                </w:tcPr>
                <w:p w14:paraId="67AB1676" w14:textId="0C4835CF" w:rsidR="008630C4" w:rsidRPr="00A823EA" w:rsidRDefault="008630C4" w:rsidP="008630C4">
                  <w:pPr>
                    <w:jc w:val="center"/>
                    <w:rPr>
                      <w:rFonts w:ascii="Calibri" w:eastAsia="Times New Roman" w:hAnsi="Calibri" w:cs="Calibri"/>
                      <w:color w:val="000000"/>
                      <w:sz w:val="22"/>
                      <w:szCs w:val="22"/>
                    </w:rPr>
                  </w:pPr>
                  <w:r w:rsidRPr="0026681D">
                    <w:rPr>
                      <w:rFonts w:ascii="Calibri" w:eastAsia="Times New Roman" w:hAnsi="Calibri" w:cs="Calibri"/>
                      <w:color w:val="000000"/>
                      <w:sz w:val="22"/>
                      <w:szCs w:val="22"/>
                    </w:rPr>
                    <w:t>1,243,000.00</w:t>
                  </w:r>
                </w:p>
              </w:tc>
              <w:tc>
                <w:tcPr>
                  <w:tcW w:w="2347" w:type="dxa"/>
                  <w:tcBorders>
                    <w:top w:val="nil"/>
                    <w:left w:val="nil"/>
                    <w:bottom w:val="single" w:sz="4" w:space="0" w:color="auto"/>
                    <w:right w:val="single" w:sz="4" w:space="0" w:color="auto"/>
                  </w:tcBorders>
                  <w:shd w:val="clear" w:color="auto" w:fill="auto"/>
                  <w:noWrap/>
                  <w:vAlign w:val="bottom"/>
                  <w:hideMark/>
                </w:tcPr>
                <w:p w14:paraId="29899D30" w14:textId="77777777" w:rsidR="008630C4" w:rsidRPr="00A823EA" w:rsidRDefault="008630C4" w:rsidP="008630C4">
                  <w:pPr>
                    <w:jc w:val="center"/>
                    <w:rPr>
                      <w:rFonts w:ascii="Calibri" w:eastAsia="Times New Roman" w:hAnsi="Calibri" w:cs="Calibri"/>
                      <w:color w:val="000000"/>
                      <w:sz w:val="22"/>
                      <w:szCs w:val="22"/>
                    </w:rPr>
                  </w:pPr>
                  <w:r w:rsidRPr="00A823EA">
                    <w:rPr>
                      <w:rFonts w:ascii="Calibri" w:eastAsia="Times New Roman" w:hAnsi="Calibri" w:cs="Calibri"/>
                      <w:color w:val="000000"/>
                      <w:sz w:val="22"/>
                      <w:szCs w:val="22"/>
                    </w:rPr>
                    <w:t>12,430.00</w:t>
                  </w:r>
                </w:p>
              </w:tc>
            </w:tr>
          </w:tbl>
          <w:p w14:paraId="5AEB3D8B" w14:textId="77777777" w:rsidR="00F42BCB" w:rsidRPr="00005390" w:rsidRDefault="00F42BCB" w:rsidP="00FB15CA">
            <w:pPr>
              <w:rPr>
                <w:lang w:val="en-AU"/>
              </w:rPr>
            </w:pPr>
          </w:p>
        </w:tc>
      </w:tr>
      <w:tr w:rsidR="00340DF1" w:rsidRPr="00005390" w14:paraId="732C2B0B" w14:textId="77777777" w:rsidTr="008F7300">
        <w:tc>
          <w:tcPr>
            <w:tcW w:w="1733" w:type="dxa"/>
            <w:shd w:val="clear" w:color="auto" w:fill="auto"/>
          </w:tcPr>
          <w:p w14:paraId="31B2607C" w14:textId="77777777" w:rsidR="00340DF1" w:rsidRPr="00005390" w:rsidRDefault="00340DF1" w:rsidP="00FB15CA">
            <w:pPr>
              <w:pStyle w:val="Tabletext"/>
              <w:rPr>
                <w:rFonts w:cs="Arial"/>
                <w:b/>
                <w:bCs w:val="0"/>
                <w:szCs w:val="18"/>
              </w:rPr>
            </w:pPr>
          </w:p>
        </w:tc>
        <w:tc>
          <w:tcPr>
            <w:tcW w:w="8010" w:type="dxa"/>
            <w:shd w:val="clear" w:color="auto" w:fill="auto"/>
          </w:tcPr>
          <w:p w14:paraId="232C3CFB" w14:textId="77777777" w:rsidR="00340DF1" w:rsidRPr="00005390" w:rsidRDefault="00340DF1" w:rsidP="00FB15CA">
            <w:pPr>
              <w:autoSpaceDE w:val="0"/>
              <w:autoSpaceDN w:val="0"/>
              <w:adjustRightInd w:val="0"/>
              <w:spacing w:before="140" w:line="240" w:lineRule="atLeast"/>
              <w:rPr>
                <w:rFonts w:ascii="Arial" w:eastAsia="SimSun" w:hAnsi="Arial" w:cs="Arial"/>
                <w:sz w:val="18"/>
                <w:szCs w:val="18"/>
                <w:lang w:val="en-AU" w:eastAsia="zh-CN"/>
              </w:rPr>
            </w:pPr>
          </w:p>
        </w:tc>
      </w:tr>
      <w:tr w:rsidR="00D0063C" w:rsidRPr="00005390" w14:paraId="3BA28DA5" w14:textId="77777777" w:rsidTr="008F7300">
        <w:trPr>
          <w:trHeight w:val="933"/>
        </w:trPr>
        <w:tc>
          <w:tcPr>
            <w:tcW w:w="1733" w:type="dxa"/>
            <w:shd w:val="clear" w:color="auto" w:fill="auto"/>
          </w:tcPr>
          <w:p w14:paraId="07C07199" w14:textId="11D05E98" w:rsidR="00D0063C" w:rsidRPr="00005390" w:rsidRDefault="00D0063C" w:rsidP="00D0063C">
            <w:pPr>
              <w:pStyle w:val="Tabletext"/>
              <w:rPr>
                <w:rFonts w:cs="Arial"/>
                <w:b/>
                <w:bCs w:val="0"/>
                <w:szCs w:val="18"/>
              </w:rPr>
            </w:pPr>
            <w:r w:rsidRPr="00005390">
              <w:rPr>
                <w:rFonts w:cs="Arial"/>
                <w:b/>
                <w:bCs w:val="0"/>
                <w:szCs w:val="18"/>
              </w:rPr>
              <w:t>Issuer Call Feature:</w:t>
            </w:r>
            <w:r w:rsidRPr="00005390">
              <w:rPr>
                <w:b/>
              </w:rPr>
              <w:t xml:space="preserve"> </w:t>
            </w:r>
          </w:p>
        </w:tc>
        <w:tc>
          <w:tcPr>
            <w:tcW w:w="8010" w:type="dxa"/>
            <w:shd w:val="clear" w:color="auto" w:fill="auto"/>
          </w:tcPr>
          <w:p w14:paraId="7CD2BCD1" w14:textId="3276F952" w:rsidR="00D0063C" w:rsidRPr="00005390" w:rsidRDefault="00D0063C" w:rsidP="00D0063C">
            <w:pPr>
              <w:pStyle w:val="Tabletext"/>
              <w:rPr>
                <w:rFonts w:cs="Arial"/>
                <w:szCs w:val="18"/>
              </w:rPr>
            </w:pPr>
            <w:r w:rsidRPr="00005390">
              <w:rPr>
                <w:rFonts w:cs="Arial"/>
                <w:szCs w:val="18"/>
              </w:rPr>
              <w:t xml:space="preserve">Issuer has the right to call the Notes </w:t>
            </w:r>
            <w:r w:rsidR="00241674" w:rsidRPr="00005390">
              <w:rPr>
                <w:rFonts w:cs="Arial"/>
                <w:szCs w:val="18"/>
              </w:rPr>
              <w:t xml:space="preserve">per the above Redemption Amount Schedule </w:t>
            </w:r>
            <w:r w:rsidRPr="00005390">
              <w:rPr>
                <w:rFonts w:cs="Arial"/>
                <w:szCs w:val="18"/>
              </w:rPr>
              <w:t xml:space="preserve">in whole but not in part only on every </w:t>
            </w:r>
            <w:r w:rsidR="00A823EA">
              <w:rPr>
                <w:rFonts w:cs="Arial"/>
                <w:szCs w:val="18"/>
              </w:rPr>
              <w:t>8</w:t>
            </w:r>
            <w:r w:rsidR="00545CA5" w:rsidRPr="00005390">
              <w:rPr>
                <w:rFonts w:cs="Arial"/>
                <w:szCs w:val="18"/>
              </w:rPr>
              <w:t xml:space="preserve"> of </w:t>
            </w:r>
            <w:r w:rsidR="00A823EA">
              <w:rPr>
                <w:rFonts w:cs="Arial"/>
                <w:szCs w:val="18"/>
              </w:rPr>
              <w:t>May</w:t>
            </w:r>
            <w:r w:rsidRPr="00005390">
              <w:rPr>
                <w:rFonts w:cs="Arial"/>
                <w:szCs w:val="18"/>
              </w:rPr>
              <w:t xml:space="preserve">, from and including the </w:t>
            </w:r>
            <w:r w:rsidR="00A823EA">
              <w:rPr>
                <w:rFonts w:cs="Arial"/>
                <w:szCs w:val="18"/>
              </w:rPr>
              <w:t>8</w:t>
            </w:r>
            <w:r w:rsidR="00E70D5F">
              <w:rPr>
                <w:rFonts w:cs="Arial"/>
                <w:szCs w:val="18"/>
              </w:rPr>
              <w:t xml:space="preserve"> </w:t>
            </w:r>
            <w:r w:rsidR="00A823EA">
              <w:rPr>
                <w:rFonts w:cs="Arial"/>
                <w:szCs w:val="18"/>
              </w:rPr>
              <w:t>May</w:t>
            </w:r>
            <w:r w:rsidR="00545CA5" w:rsidRPr="00005390">
              <w:rPr>
                <w:rFonts w:cs="Arial"/>
                <w:szCs w:val="18"/>
              </w:rPr>
              <w:t xml:space="preserve"> 202</w:t>
            </w:r>
            <w:r w:rsidR="00E70D5F">
              <w:rPr>
                <w:rFonts w:cs="Arial"/>
                <w:szCs w:val="18"/>
              </w:rPr>
              <w:t>7</w:t>
            </w:r>
            <w:r w:rsidRPr="00005390">
              <w:rPr>
                <w:rFonts w:cs="Arial"/>
                <w:szCs w:val="18"/>
              </w:rPr>
              <w:t xml:space="preserve"> up to and including </w:t>
            </w:r>
            <w:r w:rsidR="00A823EA">
              <w:rPr>
                <w:rFonts w:cs="Arial"/>
                <w:szCs w:val="18"/>
              </w:rPr>
              <w:t>8</w:t>
            </w:r>
            <w:r w:rsidR="00545CA5" w:rsidRPr="00005390">
              <w:rPr>
                <w:rFonts w:cs="Arial"/>
                <w:szCs w:val="18"/>
              </w:rPr>
              <w:t xml:space="preserve"> </w:t>
            </w:r>
            <w:r w:rsidR="00A823EA">
              <w:rPr>
                <w:rFonts w:cs="Arial"/>
                <w:szCs w:val="18"/>
              </w:rPr>
              <w:t>May</w:t>
            </w:r>
            <w:r w:rsidR="00545CA5" w:rsidRPr="00005390">
              <w:rPr>
                <w:rFonts w:cs="Arial"/>
                <w:szCs w:val="18"/>
              </w:rPr>
              <w:t xml:space="preserve"> 20</w:t>
            </w:r>
            <w:r w:rsidR="00B0237E">
              <w:rPr>
                <w:rFonts w:cs="Arial"/>
                <w:szCs w:val="18"/>
              </w:rPr>
              <w:t>30</w:t>
            </w:r>
            <w:r w:rsidRPr="00005390">
              <w:rPr>
                <w:rFonts w:cs="Arial"/>
                <w:szCs w:val="18"/>
              </w:rPr>
              <w:t xml:space="preserve"> upon giving </w:t>
            </w:r>
            <w:r w:rsidR="00545CA5" w:rsidRPr="00005390">
              <w:rPr>
                <w:rFonts w:cs="Arial"/>
                <w:szCs w:val="18"/>
              </w:rPr>
              <w:t>5</w:t>
            </w:r>
            <w:r w:rsidRPr="00005390">
              <w:rPr>
                <w:rFonts w:cs="Arial"/>
                <w:szCs w:val="18"/>
              </w:rPr>
              <w:t xml:space="preserve"> business days’ notice, provided that where the redemption would lead to a breach of the Issuer’s TLAC requirement each redemption will be subject to the prior approval of the Superintendent of Financial Institutions (Canada).</w:t>
            </w:r>
          </w:p>
        </w:tc>
      </w:tr>
      <w:tr w:rsidR="00A376B9" w:rsidRPr="00005390" w14:paraId="5DAEE283" w14:textId="77777777" w:rsidTr="008F7300">
        <w:tc>
          <w:tcPr>
            <w:tcW w:w="1733" w:type="dxa"/>
            <w:shd w:val="clear" w:color="auto" w:fill="auto"/>
          </w:tcPr>
          <w:p w14:paraId="68B13ED1" w14:textId="77777777" w:rsidR="00A376B9" w:rsidRPr="00005390" w:rsidRDefault="00A376B9" w:rsidP="00FB15CA">
            <w:pPr>
              <w:pStyle w:val="Tabletext"/>
              <w:rPr>
                <w:rFonts w:cs="Arial"/>
                <w:b/>
                <w:bCs w:val="0"/>
                <w:szCs w:val="18"/>
              </w:rPr>
            </w:pPr>
            <w:r w:rsidRPr="00005390">
              <w:rPr>
                <w:rFonts w:cs="Arial"/>
                <w:b/>
                <w:bCs w:val="0"/>
                <w:szCs w:val="18"/>
              </w:rPr>
              <w:t>Business Days:</w:t>
            </w:r>
          </w:p>
        </w:tc>
        <w:tc>
          <w:tcPr>
            <w:tcW w:w="8010" w:type="dxa"/>
            <w:shd w:val="clear" w:color="auto" w:fill="auto"/>
          </w:tcPr>
          <w:p w14:paraId="72C3D427" w14:textId="67EAD7B1" w:rsidR="00A376B9" w:rsidRPr="00005390" w:rsidRDefault="00545CA5" w:rsidP="004763C0">
            <w:pPr>
              <w:pStyle w:val="Tabletext"/>
              <w:rPr>
                <w:rFonts w:cs="Arial"/>
                <w:szCs w:val="18"/>
              </w:rPr>
            </w:pPr>
            <w:r w:rsidRPr="00005390">
              <w:rPr>
                <w:rFonts w:cs="Arial"/>
                <w:szCs w:val="18"/>
              </w:rPr>
              <w:t>London and New York</w:t>
            </w:r>
          </w:p>
        </w:tc>
      </w:tr>
      <w:tr w:rsidR="00A376B9" w:rsidRPr="00005390" w14:paraId="59C6DBF9" w14:textId="77777777" w:rsidTr="008F7300">
        <w:tc>
          <w:tcPr>
            <w:tcW w:w="1733" w:type="dxa"/>
            <w:shd w:val="clear" w:color="auto" w:fill="auto"/>
          </w:tcPr>
          <w:p w14:paraId="1934AFA8" w14:textId="77777777" w:rsidR="00A376B9" w:rsidRPr="00005390" w:rsidRDefault="00A376B9" w:rsidP="00FB15CA">
            <w:pPr>
              <w:pStyle w:val="Tabletext"/>
              <w:rPr>
                <w:rFonts w:cs="Arial"/>
                <w:b/>
                <w:bCs w:val="0"/>
                <w:szCs w:val="18"/>
              </w:rPr>
            </w:pPr>
            <w:r w:rsidRPr="00005390">
              <w:rPr>
                <w:rFonts w:cs="Arial"/>
                <w:b/>
                <w:bCs w:val="0"/>
                <w:szCs w:val="18"/>
              </w:rPr>
              <w:t>Business Day Convention:</w:t>
            </w:r>
          </w:p>
        </w:tc>
        <w:tc>
          <w:tcPr>
            <w:tcW w:w="8010" w:type="dxa"/>
            <w:shd w:val="clear" w:color="auto" w:fill="auto"/>
          </w:tcPr>
          <w:p w14:paraId="1543815F" w14:textId="77777777" w:rsidR="00A376B9" w:rsidRPr="00005390" w:rsidRDefault="00A376B9" w:rsidP="00FB15CA">
            <w:pPr>
              <w:pStyle w:val="Tabletext"/>
              <w:rPr>
                <w:rFonts w:cs="Arial"/>
                <w:szCs w:val="18"/>
              </w:rPr>
            </w:pPr>
            <w:r w:rsidRPr="00005390">
              <w:rPr>
                <w:rFonts w:cs="Arial"/>
                <w:szCs w:val="18"/>
              </w:rPr>
              <w:t>Following</w:t>
            </w:r>
          </w:p>
        </w:tc>
      </w:tr>
      <w:tr w:rsidR="00DA2BFB" w:rsidRPr="00005390" w14:paraId="13BF98DF" w14:textId="77777777" w:rsidTr="008F7300">
        <w:tc>
          <w:tcPr>
            <w:tcW w:w="1733" w:type="dxa"/>
            <w:shd w:val="clear" w:color="auto" w:fill="auto"/>
          </w:tcPr>
          <w:p w14:paraId="3BE46D4E" w14:textId="0AF0C437" w:rsidR="00DA2BFB" w:rsidRPr="00005390" w:rsidRDefault="00DA2BFB" w:rsidP="00DA2BFB">
            <w:pPr>
              <w:pStyle w:val="Tabletext"/>
              <w:rPr>
                <w:rFonts w:cs="Arial"/>
                <w:b/>
                <w:bCs w:val="0"/>
                <w:szCs w:val="18"/>
              </w:rPr>
            </w:pPr>
            <w:r w:rsidRPr="00005390">
              <w:rPr>
                <w:rFonts w:cs="Arial"/>
                <w:b/>
                <w:bCs w:val="0"/>
                <w:szCs w:val="18"/>
              </w:rPr>
              <w:t>Minimum Trading Size:</w:t>
            </w:r>
          </w:p>
        </w:tc>
        <w:tc>
          <w:tcPr>
            <w:tcW w:w="8010" w:type="dxa"/>
            <w:shd w:val="clear" w:color="auto" w:fill="auto"/>
          </w:tcPr>
          <w:p w14:paraId="454218D6" w14:textId="05A42B83" w:rsidR="00DA2BFB" w:rsidRPr="00005390" w:rsidRDefault="00545CA5" w:rsidP="00DA2BFB">
            <w:pPr>
              <w:pStyle w:val="Tabletext"/>
              <w:rPr>
                <w:szCs w:val="18"/>
              </w:rPr>
            </w:pPr>
            <w:r w:rsidRPr="00005390">
              <w:rPr>
                <w:szCs w:val="18"/>
              </w:rPr>
              <w:t>USD</w:t>
            </w:r>
            <w:r w:rsidR="00DA2BFB" w:rsidRPr="00005390">
              <w:rPr>
                <w:rFonts w:cs="Arial"/>
                <w:szCs w:val="18"/>
              </w:rPr>
              <w:t xml:space="preserve"> </w:t>
            </w:r>
            <w:r w:rsidRPr="00005390">
              <w:rPr>
                <w:rFonts w:cs="Arial"/>
                <w:szCs w:val="18"/>
              </w:rPr>
              <w:t>10</w:t>
            </w:r>
            <w:r w:rsidR="0051090B" w:rsidRPr="00005390">
              <w:rPr>
                <w:rFonts w:cs="Arial"/>
                <w:szCs w:val="18"/>
              </w:rPr>
              <w:t>0</w:t>
            </w:r>
            <w:r w:rsidRPr="00005390">
              <w:rPr>
                <w:rFonts w:cs="Arial"/>
                <w:szCs w:val="18"/>
              </w:rPr>
              <w:t>,000</w:t>
            </w:r>
          </w:p>
        </w:tc>
      </w:tr>
      <w:tr w:rsidR="00DA2BFB" w:rsidRPr="00005390" w14:paraId="4B5A8D18" w14:textId="77777777" w:rsidTr="008F7300">
        <w:tc>
          <w:tcPr>
            <w:tcW w:w="1733" w:type="dxa"/>
            <w:shd w:val="clear" w:color="auto" w:fill="auto"/>
          </w:tcPr>
          <w:p w14:paraId="3CF1BDB8" w14:textId="77777777" w:rsidR="00DA2BFB" w:rsidRPr="00005390" w:rsidRDefault="00DA2BFB" w:rsidP="00DA2BFB">
            <w:pPr>
              <w:pStyle w:val="Tabletext"/>
              <w:rPr>
                <w:rFonts w:cs="Arial"/>
                <w:b/>
                <w:bCs w:val="0"/>
                <w:szCs w:val="18"/>
              </w:rPr>
            </w:pPr>
            <w:r w:rsidRPr="00005390">
              <w:rPr>
                <w:rFonts w:cs="Arial"/>
                <w:b/>
                <w:bCs w:val="0"/>
                <w:szCs w:val="18"/>
              </w:rPr>
              <w:t>Denominations:</w:t>
            </w:r>
          </w:p>
        </w:tc>
        <w:tc>
          <w:tcPr>
            <w:tcW w:w="8010" w:type="dxa"/>
            <w:shd w:val="clear" w:color="auto" w:fill="auto"/>
          </w:tcPr>
          <w:p w14:paraId="210802A7" w14:textId="224B5C3B" w:rsidR="00DA2BFB" w:rsidRPr="00005390" w:rsidRDefault="00545CA5" w:rsidP="00DA2BFB">
            <w:pPr>
              <w:pStyle w:val="Tabletext"/>
              <w:rPr>
                <w:rFonts w:cs="Arial"/>
                <w:szCs w:val="18"/>
              </w:rPr>
            </w:pPr>
            <w:r w:rsidRPr="00005390">
              <w:rPr>
                <w:szCs w:val="18"/>
              </w:rPr>
              <w:t>USD</w:t>
            </w:r>
            <w:r w:rsidR="00DA2BFB" w:rsidRPr="00005390">
              <w:rPr>
                <w:rFonts w:cs="Arial"/>
                <w:szCs w:val="18"/>
              </w:rPr>
              <w:t xml:space="preserve"> </w:t>
            </w:r>
            <w:r w:rsidR="0051090B" w:rsidRPr="00005390">
              <w:rPr>
                <w:rFonts w:cs="Arial"/>
                <w:szCs w:val="18"/>
              </w:rPr>
              <w:t>1</w:t>
            </w:r>
            <w:r w:rsidR="00971C7D">
              <w:rPr>
                <w:rFonts w:cs="Arial"/>
                <w:szCs w:val="18"/>
              </w:rPr>
              <w:t>0</w:t>
            </w:r>
            <w:r w:rsidRPr="00005390">
              <w:rPr>
                <w:rFonts w:cs="Arial"/>
                <w:szCs w:val="18"/>
              </w:rPr>
              <w:t>,000</w:t>
            </w:r>
          </w:p>
        </w:tc>
      </w:tr>
      <w:tr w:rsidR="00DA2BFB" w:rsidRPr="00005390" w14:paraId="3A71BBFF" w14:textId="77777777" w:rsidTr="008F7300">
        <w:tc>
          <w:tcPr>
            <w:tcW w:w="1733" w:type="dxa"/>
            <w:shd w:val="clear" w:color="auto" w:fill="auto"/>
          </w:tcPr>
          <w:p w14:paraId="6BE3B60C" w14:textId="77777777" w:rsidR="00DA2BFB" w:rsidRPr="00005390" w:rsidRDefault="00DA2BFB" w:rsidP="00DA2BFB">
            <w:pPr>
              <w:pStyle w:val="Tabletext"/>
              <w:rPr>
                <w:rFonts w:cs="Arial"/>
                <w:b/>
                <w:bCs w:val="0"/>
                <w:szCs w:val="18"/>
              </w:rPr>
            </w:pPr>
            <w:r w:rsidRPr="00005390">
              <w:rPr>
                <w:rFonts w:cs="Arial"/>
                <w:b/>
                <w:bCs w:val="0"/>
                <w:szCs w:val="18"/>
              </w:rPr>
              <w:t>Governing Law:</w:t>
            </w:r>
          </w:p>
        </w:tc>
        <w:tc>
          <w:tcPr>
            <w:tcW w:w="8010" w:type="dxa"/>
            <w:shd w:val="clear" w:color="auto" w:fill="auto"/>
          </w:tcPr>
          <w:p w14:paraId="19CBCC85" w14:textId="77777777" w:rsidR="00DA2BFB" w:rsidRPr="00005390" w:rsidRDefault="00DA2BFB" w:rsidP="00DA2BFB">
            <w:pPr>
              <w:pStyle w:val="Tabletext"/>
              <w:rPr>
                <w:rFonts w:cs="Arial"/>
                <w:szCs w:val="18"/>
              </w:rPr>
            </w:pPr>
            <w:r w:rsidRPr="00005390">
              <w:rPr>
                <w:rFonts w:cs="Arial"/>
                <w:szCs w:val="18"/>
              </w:rPr>
              <w:t>Province of Ontario and the laws of Canada applicable therein</w:t>
            </w:r>
          </w:p>
        </w:tc>
      </w:tr>
      <w:tr w:rsidR="00DA2BFB" w:rsidRPr="00005390" w14:paraId="79D603B2" w14:textId="77777777" w:rsidTr="008F7300">
        <w:tc>
          <w:tcPr>
            <w:tcW w:w="1733" w:type="dxa"/>
            <w:shd w:val="clear" w:color="auto" w:fill="auto"/>
          </w:tcPr>
          <w:p w14:paraId="3845E986" w14:textId="77777777" w:rsidR="00DA2BFB" w:rsidRPr="00005390" w:rsidRDefault="00DA2BFB" w:rsidP="00DA2BFB">
            <w:pPr>
              <w:pStyle w:val="Tabletext"/>
              <w:rPr>
                <w:rFonts w:cs="Arial"/>
                <w:b/>
                <w:bCs w:val="0"/>
                <w:szCs w:val="18"/>
              </w:rPr>
            </w:pPr>
            <w:r w:rsidRPr="00005390">
              <w:rPr>
                <w:rFonts w:cs="Arial"/>
                <w:b/>
                <w:bCs w:val="0"/>
                <w:szCs w:val="18"/>
              </w:rPr>
              <w:t>Form of Notes:</w:t>
            </w:r>
          </w:p>
        </w:tc>
        <w:tc>
          <w:tcPr>
            <w:tcW w:w="8010" w:type="dxa"/>
            <w:shd w:val="clear" w:color="auto" w:fill="auto"/>
          </w:tcPr>
          <w:p w14:paraId="6D1C82E2" w14:textId="77777777" w:rsidR="00DA2BFB" w:rsidRPr="00005390" w:rsidRDefault="00DA2BFB" w:rsidP="00DA2BFB">
            <w:pPr>
              <w:pStyle w:val="Tabletext"/>
              <w:rPr>
                <w:rFonts w:cs="Arial"/>
                <w:szCs w:val="18"/>
              </w:rPr>
            </w:pPr>
            <w:r w:rsidRPr="00005390">
              <w:rPr>
                <w:rFonts w:cs="Arial"/>
                <w:szCs w:val="18"/>
              </w:rPr>
              <w:t xml:space="preserve">Bearer Notes. </w:t>
            </w:r>
            <w:r w:rsidRPr="00005390">
              <w:t>Temporary Global Note exchangeable for a Permanent Global Note.</w:t>
            </w:r>
          </w:p>
        </w:tc>
      </w:tr>
      <w:tr w:rsidR="00DA2BFB" w:rsidRPr="00005390" w14:paraId="5C6397A2" w14:textId="77777777" w:rsidTr="008F7300">
        <w:tc>
          <w:tcPr>
            <w:tcW w:w="1733" w:type="dxa"/>
            <w:shd w:val="clear" w:color="auto" w:fill="auto"/>
          </w:tcPr>
          <w:p w14:paraId="4C650D37" w14:textId="01C99C5A" w:rsidR="00DA2BFB" w:rsidRPr="00005390" w:rsidRDefault="00DA2BFB" w:rsidP="00DA2BFB">
            <w:pPr>
              <w:pStyle w:val="Tabletext"/>
              <w:rPr>
                <w:rFonts w:cs="Arial"/>
                <w:b/>
                <w:bCs w:val="0"/>
                <w:szCs w:val="18"/>
              </w:rPr>
            </w:pPr>
            <w:r w:rsidRPr="00005390">
              <w:rPr>
                <w:rFonts w:cs="Arial"/>
                <w:b/>
                <w:bCs w:val="0"/>
                <w:szCs w:val="18"/>
              </w:rPr>
              <w:t>Attornment:</w:t>
            </w:r>
            <w:r w:rsidRPr="00005390">
              <w:rPr>
                <w:b/>
              </w:rPr>
              <w:t xml:space="preserve"> </w:t>
            </w:r>
          </w:p>
        </w:tc>
        <w:tc>
          <w:tcPr>
            <w:tcW w:w="8010" w:type="dxa"/>
            <w:shd w:val="clear" w:color="auto" w:fill="auto"/>
          </w:tcPr>
          <w:p w14:paraId="5BB8D22B" w14:textId="413CE5A7" w:rsidR="00DA2BFB" w:rsidRPr="00005390" w:rsidRDefault="00DA2BFB" w:rsidP="00DA2BFB">
            <w:pPr>
              <w:pStyle w:val="Tabletext"/>
              <w:rPr>
                <w:rFonts w:cs="Arial"/>
                <w:szCs w:val="18"/>
              </w:rPr>
            </w:pPr>
            <w:r w:rsidRPr="00005390">
              <w:rPr>
                <w:rFonts w:cs="Arial"/>
                <w:szCs w:val="18"/>
              </w:rPr>
              <w:t>By acquiring the Notes, each Noteholder (including each beneficial owner) is deemed to attorn to the jurisdiction of the courts in the Province of Ontario in Canada with respect to the CDIC Act and the laws of the Province of Ontario and the federal laws of Canada applicable therein</w:t>
            </w:r>
          </w:p>
        </w:tc>
      </w:tr>
      <w:tr w:rsidR="00DA2BFB" w:rsidRPr="00005390" w14:paraId="1FAB5D3C" w14:textId="77777777" w:rsidTr="008F7300">
        <w:tc>
          <w:tcPr>
            <w:tcW w:w="1733" w:type="dxa"/>
            <w:shd w:val="clear" w:color="auto" w:fill="auto"/>
          </w:tcPr>
          <w:p w14:paraId="2258BD93" w14:textId="77777777" w:rsidR="00DA2BFB" w:rsidRPr="00005390" w:rsidRDefault="00DA2BFB" w:rsidP="00DA2BFB">
            <w:pPr>
              <w:pStyle w:val="Tabletext"/>
              <w:rPr>
                <w:rFonts w:cs="Arial"/>
                <w:b/>
                <w:bCs w:val="0"/>
                <w:szCs w:val="18"/>
              </w:rPr>
            </w:pPr>
            <w:r w:rsidRPr="00005390">
              <w:rPr>
                <w:rFonts w:cs="Arial"/>
                <w:b/>
                <w:bCs w:val="0"/>
                <w:szCs w:val="18"/>
              </w:rPr>
              <w:t>Listing:</w:t>
            </w:r>
          </w:p>
        </w:tc>
        <w:tc>
          <w:tcPr>
            <w:tcW w:w="8010" w:type="dxa"/>
            <w:shd w:val="clear" w:color="auto" w:fill="auto"/>
          </w:tcPr>
          <w:p w14:paraId="416D7842" w14:textId="23A16F14" w:rsidR="00DA2BFB" w:rsidRPr="00005390" w:rsidRDefault="0081791B" w:rsidP="00DA2BFB">
            <w:pPr>
              <w:pStyle w:val="Tabletext"/>
              <w:rPr>
                <w:rFonts w:cs="Arial"/>
                <w:szCs w:val="18"/>
              </w:rPr>
            </w:pPr>
            <w:r>
              <w:rPr>
                <w:rFonts w:cs="Arial"/>
                <w:szCs w:val="18"/>
              </w:rPr>
              <w:t>None</w:t>
            </w:r>
          </w:p>
        </w:tc>
      </w:tr>
      <w:tr w:rsidR="00DA2BFB" w:rsidRPr="00005390" w14:paraId="1D5734C2" w14:textId="77777777" w:rsidTr="008F7300">
        <w:tc>
          <w:tcPr>
            <w:tcW w:w="1733" w:type="dxa"/>
            <w:shd w:val="clear" w:color="auto" w:fill="auto"/>
          </w:tcPr>
          <w:p w14:paraId="0C2497CC" w14:textId="77777777" w:rsidR="00DA2BFB" w:rsidRPr="00005390" w:rsidRDefault="00DA2BFB" w:rsidP="00DA2BFB">
            <w:pPr>
              <w:pStyle w:val="Tabletext"/>
              <w:rPr>
                <w:rFonts w:cs="Arial"/>
                <w:b/>
                <w:bCs w:val="0"/>
                <w:szCs w:val="18"/>
              </w:rPr>
            </w:pPr>
            <w:r w:rsidRPr="00005390">
              <w:rPr>
                <w:rFonts w:cs="Arial"/>
                <w:b/>
                <w:bCs w:val="0"/>
                <w:szCs w:val="18"/>
              </w:rPr>
              <w:t>Documentation:</w:t>
            </w:r>
          </w:p>
        </w:tc>
        <w:tc>
          <w:tcPr>
            <w:tcW w:w="8010" w:type="dxa"/>
            <w:shd w:val="clear" w:color="auto" w:fill="auto"/>
          </w:tcPr>
          <w:p w14:paraId="72E02E25" w14:textId="77777777" w:rsidR="00DA2BFB" w:rsidRPr="00005390" w:rsidRDefault="00DA2BFB" w:rsidP="00DA2BFB">
            <w:pPr>
              <w:pStyle w:val="Tabletext"/>
              <w:rPr>
                <w:rFonts w:cs="Arial"/>
                <w:szCs w:val="18"/>
              </w:rPr>
            </w:pPr>
            <w:r w:rsidRPr="00005390">
              <w:rPr>
                <w:rFonts w:cs="Arial"/>
                <w:szCs w:val="18"/>
              </w:rPr>
              <w:t xml:space="preserve">Under the existing EMTN Programme, including the Prospectus as supplemented from time to time (the </w:t>
            </w:r>
            <w:proofErr w:type="gramStart"/>
            <w:r w:rsidRPr="00005390">
              <w:rPr>
                <w:rFonts w:cs="Arial"/>
                <w:szCs w:val="18"/>
              </w:rPr>
              <w:t>“ Prospectus</w:t>
            </w:r>
            <w:proofErr w:type="gramEnd"/>
            <w:r w:rsidRPr="00005390">
              <w:rPr>
                <w:rFonts w:cs="Arial"/>
                <w:szCs w:val="18"/>
              </w:rPr>
              <w:t>”)</w:t>
            </w:r>
          </w:p>
        </w:tc>
      </w:tr>
      <w:tr w:rsidR="00DA2BFB" w:rsidRPr="00005390" w14:paraId="2229F2D7" w14:textId="77777777" w:rsidTr="008F7300">
        <w:tc>
          <w:tcPr>
            <w:tcW w:w="1733" w:type="dxa"/>
            <w:shd w:val="clear" w:color="auto" w:fill="auto"/>
          </w:tcPr>
          <w:p w14:paraId="358FBEEF" w14:textId="77777777" w:rsidR="00DA2BFB" w:rsidRPr="00005390" w:rsidRDefault="00DA2BFB" w:rsidP="00DA2BFB">
            <w:pPr>
              <w:pStyle w:val="Tabletext"/>
              <w:rPr>
                <w:rFonts w:cs="Arial"/>
                <w:b/>
                <w:bCs w:val="0"/>
                <w:szCs w:val="18"/>
              </w:rPr>
            </w:pPr>
            <w:r w:rsidRPr="00005390">
              <w:rPr>
                <w:rFonts w:cs="Arial"/>
                <w:b/>
                <w:bCs w:val="0"/>
                <w:szCs w:val="18"/>
              </w:rPr>
              <w:t>Lead Manager:</w:t>
            </w:r>
          </w:p>
        </w:tc>
        <w:tc>
          <w:tcPr>
            <w:tcW w:w="8010" w:type="dxa"/>
            <w:shd w:val="clear" w:color="auto" w:fill="auto"/>
          </w:tcPr>
          <w:p w14:paraId="669CA319" w14:textId="77777777" w:rsidR="00DA2BFB" w:rsidRPr="00005390" w:rsidRDefault="00DA2BFB" w:rsidP="00DA2BFB">
            <w:pPr>
              <w:pStyle w:val="Tabletext"/>
              <w:rPr>
                <w:rFonts w:cs="Arial"/>
                <w:szCs w:val="18"/>
              </w:rPr>
            </w:pPr>
            <w:r w:rsidRPr="00005390">
              <w:rPr>
                <w:szCs w:val="18"/>
              </w:rPr>
              <w:t>RBC Europe Limited</w:t>
            </w:r>
          </w:p>
        </w:tc>
      </w:tr>
      <w:tr w:rsidR="00DA2BFB" w:rsidRPr="00005390" w14:paraId="1BDCA9B4" w14:textId="77777777" w:rsidTr="008F7300">
        <w:tc>
          <w:tcPr>
            <w:tcW w:w="1733" w:type="dxa"/>
            <w:shd w:val="clear" w:color="auto" w:fill="auto"/>
          </w:tcPr>
          <w:p w14:paraId="3E55E624" w14:textId="77777777" w:rsidR="00DA2BFB" w:rsidRPr="00005390" w:rsidRDefault="00DA2BFB" w:rsidP="00DA2BFB">
            <w:pPr>
              <w:pStyle w:val="Tabletext"/>
              <w:rPr>
                <w:rFonts w:cs="Arial"/>
                <w:b/>
                <w:bCs w:val="0"/>
                <w:szCs w:val="18"/>
              </w:rPr>
            </w:pPr>
            <w:r w:rsidRPr="00005390">
              <w:rPr>
                <w:rFonts w:cs="Arial"/>
                <w:b/>
                <w:bCs w:val="0"/>
                <w:szCs w:val="18"/>
              </w:rPr>
              <w:t>Calculation Agent:</w:t>
            </w:r>
          </w:p>
        </w:tc>
        <w:tc>
          <w:tcPr>
            <w:tcW w:w="8010" w:type="dxa"/>
            <w:shd w:val="clear" w:color="auto" w:fill="auto"/>
          </w:tcPr>
          <w:p w14:paraId="006ACA39" w14:textId="77777777" w:rsidR="00DA2BFB" w:rsidRPr="00005390" w:rsidRDefault="00DA2BFB" w:rsidP="00DA2BFB">
            <w:pPr>
              <w:pStyle w:val="Tabletext"/>
              <w:rPr>
                <w:rFonts w:cs="Arial"/>
                <w:szCs w:val="18"/>
              </w:rPr>
            </w:pPr>
            <w:r w:rsidRPr="00005390">
              <w:rPr>
                <w:szCs w:val="18"/>
              </w:rPr>
              <w:t>Royal Bank of Canada, London</w:t>
            </w:r>
          </w:p>
        </w:tc>
      </w:tr>
      <w:tr w:rsidR="00DA2BFB" w:rsidRPr="00005390" w14:paraId="1DF31A75" w14:textId="77777777" w:rsidTr="008F7300">
        <w:tc>
          <w:tcPr>
            <w:tcW w:w="1733" w:type="dxa"/>
            <w:shd w:val="clear" w:color="auto" w:fill="auto"/>
          </w:tcPr>
          <w:p w14:paraId="7B670C52" w14:textId="77777777" w:rsidR="00DA2BFB" w:rsidRPr="00005390" w:rsidRDefault="00DA2BFB" w:rsidP="00DA2BFB">
            <w:pPr>
              <w:pStyle w:val="Tabletext"/>
              <w:rPr>
                <w:rFonts w:cs="Arial"/>
                <w:b/>
                <w:bCs w:val="0"/>
                <w:szCs w:val="18"/>
              </w:rPr>
            </w:pPr>
            <w:r w:rsidRPr="00005390">
              <w:rPr>
                <w:rFonts w:cs="Arial"/>
                <w:b/>
                <w:bCs w:val="0"/>
                <w:szCs w:val="18"/>
              </w:rPr>
              <w:t>Settlement:</w:t>
            </w:r>
          </w:p>
        </w:tc>
        <w:tc>
          <w:tcPr>
            <w:tcW w:w="8010" w:type="dxa"/>
            <w:shd w:val="clear" w:color="auto" w:fill="auto"/>
          </w:tcPr>
          <w:p w14:paraId="3B509864" w14:textId="77777777" w:rsidR="00DA2BFB" w:rsidRPr="00005390" w:rsidRDefault="00DA2BFB" w:rsidP="00DA2BFB">
            <w:pPr>
              <w:pStyle w:val="Tabletext"/>
              <w:rPr>
                <w:rFonts w:cs="Arial"/>
                <w:szCs w:val="18"/>
              </w:rPr>
            </w:pPr>
            <w:r w:rsidRPr="00005390">
              <w:rPr>
                <w:rFonts w:cs="Arial"/>
                <w:szCs w:val="18"/>
              </w:rPr>
              <w:t>Euroclear or Clearstream on a delivery against payment basis</w:t>
            </w:r>
          </w:p>
        </w:tc>
      </w:tr>
      <w:tr w:rsidR="00DA2BFB" w:rsidRPr="00005390" w14:paraId="1D527BB2" w14:textId="77777777" w:rsidTr="008F7300">
        <w:tc>
          <w:tcPr>
            <w:tcW w:w="1733" w:type="dxa"/>
            <w:shd w:val="clear" w:color="auto" w:fill="auto"/>
          </w:tcPr>
          <w:p w14:paraId="124AC416" w14:textId="77777777" w:rsidR="00DA2BFB" w:rsidRPr="00005390" w:rsidRDefault="00DA2BFB" w:rsidP="00DA2BFB">
            <w:pPr>
              <w:pStyle w:val="Tabletext"/>
              <w:rPr>
                <w:rFonts w:cs="Arial"/>
                <w:b/>
                <w:bCs w:val="0"/>
                <w:szCs w:val="18"/>
              </w:rPr>
            </w:pPr>
            <w:r w:rsidRPr="00005390">
              <w:rPr>
                <w:rFonts w:cs="Arial"/>
                <w:b/>
                <w:bCs w:val="0"/>
                <w:szCs w:val="18"/>
              </w:rPr>
              <w:t xml:space="preserve">Fees Disclosure: </w:t>
            </w:r>
          </w:p>
        </w:tc>
        <w:tc>
          <w:tcPr>
            <w:tcW w:w="8010" w:type="dxa"/>
            <w:shd w:val="clear" w:color="auto" w:fill="auto"/>
          </w:tcPr>
          <w:p w14:paraId="595141B4" w14:textId="77777777" w:rsidR="00DA2BFB" w:rsidRPr="00005390" w:rsidRDefault="00DA2BFB" w:rsidP="00DA2BFB">
            <w:pPr>
              <w:pStyle w:val="Tabletext"/>
              <w:rPr>
                <w:rFonts w:cs="Arial"/>
                <w:szCs w:val="18"/>
              </w:rPr>
            </w:pPr>
            <w:r w:rsidRPr="00005390">
              <w:rPr>
                <w:rFonts w:cs="Arial"/>
                <w:szCs w:val="18"/>
              </w:rPr>
              <w:t>Lead Manager will be paid a fee of between 0-30cents on this transaction</w:t>
            </w:r>
          </w:p>
        </w:tc>
      </w:tr>
      <w:tr w:rsidR="00DA2BFB" w:rsidRPr="00005390" w14:paraId="4D3C3A17" w14:textId="77777777" w:rsidTr="008F7300">
        <w:tc>
          <w:tcPr>
            <w:tcW w:w="1733" w:type="dxa"/>
            <w:shd w:val="clear" w:color="auto" w:fill="auto"/>
          </w:tcPr>
          <w:p w14:paraId="6AB68229" w14:textId="3DD92506" w:rsidR="00DA2BFB" w:rsidRPr="00005390" w:rsidRDefault="00DA2BFB" w:rsidP="00DA2BFB">
            <w:pPr>
              <w:pStyle w:val="Tabletext"/>
              <w:rPr>
                <w:rFonts w:cs="Arial"/>
                <w:b/>
                <w:bCs w:val="0"/>
                <w:szCs w:val="18"/>
              </w:rPr>
            </w:pPr>
            <w:r w:rsidRPr="00005390">
              <w:rPr>
                <w:rFonts w:cs="Arial"/>
                <w:b/>
                <w:bCs w:val="0"/>
                <w:szCs w:val="18"/>
              </w:rPr>
              <w:t>MiFID II Target Market:</w:t>
            </w:r>
          </w:p>
        </w:tc>
        <w:tc>
          <w:tcPr>
            <w:tcW w:w="8010" w:type="dxa"/>
            <w:shd w:val="clear" w:color="auto" w:fill="auto"/>
          </w:tcPr>
          <w:p w14:paraId="76AC5B6C" w14:textId="31F2035B" w:rsidR="00400112" w:rsidRPr="00400112" w:rsidRDefault="00DA2BFB" w:rsidP="00400112">
            <w:pPr>
              <w:pStyle w:val="Tabletext"/>
              <w:rPr>
                <w:rFonts w:cs="Arial"/>
                <w:szCs w:val="18"/>
              </w:rPr>
            </w:pPr>
            <w:r w:rsidRPr="00005390">
              <w:rPr>
                <w:rFonts w:cs="Arial"/>
                <w:szCs w:val="18"/>
              </w:rPr>
              <w:t>Eligible counterparties and professional clients only</w:t>
            </w:r>
          </w:p>
        </w:tc>
      </w:tr>
      <w:tr w:rsidR="00DA2BFB" w:rsidRPr="00005390" w14:paraId="063FCEC4" w14:textId="77777777" w:rsidTr="008F7300">
        <w:tc>
          <w:tcPr>
            <w:tcW w:w="1733" w:type="dxa"/>
            <w:shd w:val="clear" w:color="auto" w:fill="auto"/>
          </w:tcPr>
          <w:p w14:paraId="5ECA71B1" w14:textId="77777777" w:rsidR="00DA2BFB" w:rsidRPr="00005390" w:rsidRDefault="00DA2BFB" w:rsidP="00DA2BFB">
            <w:pPr>
              <w:pStyle w:val="Tabletext"/>
              <w:rPr>
                <w:rFonts w:cs="Arial"/>
                <w:b/>
                <w:bCs w:val="0"/>
                <w:szCs w:val="18"/>
              </w:rPr>
            </w:pPr>
            <w:proofErr w:type="spellStart"/>
            <w:r w:rsidRPr="00005390">
              <w:rPr>
                <w:rFonts w:cs="Arial"/>
                <w:b/>
                <w:bCs w:val="0"/>
                <w:szCs w:val="18"/>
              </w:rPr>
              <w:t>Tefra</w:t>
            </w:r>
            <w:proofErr w:type="spellEnd"/>
            <w:r w:rsidRPr="00005390">
              <w:rPr>
                <w:rFonts w:cs="Arial"/>
                <w:b/>
                <w:bCs w:val="0"/>
                <w:szCs w:val="18"/>
              </w:rPr>
              <w:t xml:space="preserve"> Rules:</w:t>
            </w:r>
          </w:p>
        </w:tc>
        <w:tc>
          <w:tcPr>
            <w:tcW w:w="8010" w:type="dxa"/>
            <w:shd w:val="clear" w:color="auto" w:fill="auto"/>
          </w:tcPr>
          <w:p w14:paraId="17788981" w14:textId="1A1385E5" w:rsidR="00400112" w:rsidRPr="00400112" w:rsidRDefault="00DA2BFB" w:rsidP="00400112">
            <w:pPr>
              <w:pStyle w:val="Tabletext"/>
              <w:rPr>
                <w:rFonts w:cs="Arial"/>
                <w:szCs w:val="18"/>
              </w:rPr>
            </w:pPr>
            <w:proofErr w:type="spellStart"/>
            <w:r w:rsidRPr="00005390">
              <w:rPr>
                <w:rFonts w:cs="Arial"/>
                <w:szCs w:val="18"/>
              </w:rPr>
              <w:t>Tefra</w:t>
            </w:r>
            <w:proofErr w:type="spellEnd"/>
            <w:r w:rsidRPr="00005390">
              <w:rPr>
                <w:rFonts w:cs="Arial"/>
                <w:szCs w:val="18"/>
              </w:rPr>
              <w:t xml:space="preserve"> D applicable</w:t>
            </w:r>
          </w:p>
        </w:tc>
      </w:tr>
      <w:tr w:rsidR="00DA2BFB" w:rsidRPr="00005390" w14:paraId="5F372A26" w14:textId="77777777" w:rsidTr="008F7300">
        <w:tc>
          <w:tcPr>
            <w:tcW w:w="1733" w:type="dxa"/>
            <w:shd w:val="clear" w:color="auto" w:fill="auto"/>
          </w:tcPr>
          <w:p w14:paraId="58EBF1D2" w14:textId="77777777" w:rsidR="00DA2BFB" w:rsidRPr="00005390" w:rsidRDefault="00DA2BFB" w:rsidP="00DA2BFB">
            <w:pPr>
              <w:pStyle w:val="Tabletext"/>
              <w:rPr>
                <w:rFonts w:cs="Arial"/>
                <w:b/>
                <w:bCs w:val="0"/>
                <w:szCs w:val="18"/>
              </w:rPr>
            </w:pPr>
            <w:r w:rsidRPr="00005390">
              <w:rPr>
                <w:rFonts w:cs="Arial"/>
                <w:b/>
                <w:bCs w:val="0"/>
                <w:szCs w:val="18"/>
              </w:rPr>
              <w:t>ISIN:</w:t>
            </w:r>
          </w:p>
        </w:tc>
        <w:tc>
          <w:tcPr>
            <w:tcW w:w="8010" w:type="dxa"/>
            <w:shd w:val="clear" w:color="auto" w:fill="auto"/>
          </w:tcPr>
          <w:p w14:paraId="6EA8DD1A" w14:textId="2363DD39" w:rsidR="00DA2BFB" w:rsidRPr="00005390" w:rsidRDefault="00A823EA" w:rsidP="00DA2BFB">
            <w:pPr>
              <w:pStyle w:val="Tabletext"/>
              <w:rPr>
                <w:szCs w:val="18"/>
                <w:lang w:val="en-GB"/>
              </w:rPr>
            </w:pPr>
            <w:r w:rsidRPr="00A823EA">
              <w:rPr>
                <w:szCs w:val="18"/>
                <w:lang w:val="en-GB"/>
              </w:rPr>
              <w:t>XS3327724145</w:t>
            </w:r>
          </w:p>
        </w:tc>
      </w:tr>
    </w:tbl>
    <w:p w14:paraId="08F4C9A5" w14:textId="4B1727A0" w:rsidR="000A2654" w:rsidRPr="00005390" w:rsidRDefault="000A2654"/>
    <w:tbl>
      <w:tblPr>
        <w:tblW w:w="5421" w:type="pct"/>
        <w:tblInd w:w="-704" w:type="dxa"/>
        <w:tblLayout w:type="fixed"/>
        <w:tblLook w:val="0000" w:firstRow="0" w:lastRow="0" w:firstColumn="0" w:lastColumn="0" w:noHBand="0" w:noVBand="0"/>
      </w:tblPr>
      <w:tblGrid>
        <w:gridCol w:w="2418"/>
        <w:gridCol w:w="7340"/>
      </w:tblGrid>
      <w:tr w:rsidR="00F22CB9" w:rsidRPr="00005390" w14:paraId="3D800449" w14:textId="77777777" w:rsidTr="00713224">
        <w:tc>
          <w:tcPr>
            <w:tcW w:w="9992" w:type="dxa"/>
            <w:gridSpan w:val="2"/>
            <w:tcBorders>
              <w:bottom w:val="single" w:sz="18" w:space="0" w:color="auto"/>
            </w:tcBorders>
          </w:tcPr>
          <w:p w14:paraId="31E87291" w14:textId="77777777" w:rsidR="00F22CB9" w:rsidRPr="00005390" w:rsidRDefault="00F22CB9" w:rsidP="00713224">
            <w:pPr>
              <w:pStyle w:val="subheading"/>
              <w:spacing w:before="600" w:line="220" w:lineRule="atLeast"/>
            </w:pPr>
            <w:r w:rsidRPr="00005390">
              <w:rPr>
                <w:b w:val="0"/>
                <w:bCs w:val="0"/>
              </w:rPr>
              <w:lastRenderedPageBreak/>
              <w:br w:type="page"/>
            </w:r>
            <w:r w:rsidRPr="00005390">
              <w:br w:type="page"/>
              <w:t xml:space="preserve">OFFERING INFORMATION </w:t>
            </w:r>
          </w:p>
        </w:tc>
      </w:tr>
      <w:tr w:rsidR="00F22CB9" w:rsidRPr="00005390" w14:paraId="7D4473F0" w14:textId="77777777" w:rsidTr="00713224">
        <w:trPr>
          <w:trHeight w:val="615"/>
        </w:trPr>
        <w:tc>
          <w:tcPr>
            <w:tcW w:w="2473" w:type="dxa"/>
          </w:tcPr>
          <w:p w14:paraId="733135AA" w14:textId="77777777" w:rsidR="00F22CB9" w:rsidRPr="00005390" w:rsidRDefault="00F22CB9" w:rsidP="00713224">
            <w:pPr>
              <w:autoSpaceDE w:val="0"/>
              <w:autoSpaceDN w:val="0"/>
              <w:adjustRightInd w:val="0"/>
              <w:spacing w:line="200" w:lineRule="atLeast"/>
              <w:jc w:val="both"/>
              <w:rPr>
                <w:rFonts w:ascii="Arial" w:hAnsi="Arial" w:cs="Arial"/>
                <w:b/>
                <w:bCs/>
                <w:sz w:val="16"/>
                <w:szCs w:val="16"/>
              </w:rPr>
            </w:pPr>
            <w:r w:rsidRPr="00005390">
              <w:rPr>
                <w:rFonts w:ascii="Arial" w:hAnsi="Arial" w:cs="Arial"/>
                <w:b/>
                <w:bCs/>
                <w:sz w:val="16"/>
                <w:szCs w:val="16"/>
              </w:rPr>
              <w:t>US Offering Information:</w:t>
            </w:r>
          </w:p>
        </w:tc>
        <w:tc>
          <w:tcPr>
            <w:tcW w:w="7519" w:type="dxa"/>
          </w:tcPr>
          <w:p w14:paraId="41E4B019"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 xml:space="preserve">This </w:t>
            </w:r>
            <w:proofErr w:type="spellStart"/>
            <w:r w:rsidRPr="00005390">
              <w:rPr>
                <w:rFonts w:ascii="Arial" w:hAnsi="Arial" w:cs="Arial"/>
                <w:sz w:val="16"/>
                <w:szCs w:val="16"/>
              </w:rPr>
              <w:t>termsheet</w:t>
            </w:r>
            <w:proofErr w:type="spellEnd"/>
            <w:r w:rsidRPr="00005390">
              <w:rPr>
                <w:rFonts w:ascii="Arial" w:hAnsi="Arial" w:cs="Arial"/>
                <w:sz w:val="16"/>
                <w:szCs w:val="16"/>
              </w:rPr>
              <w:t xml:space="preserve"> is not an offer of securities for sale in the United States. The Notes have not been and will not be registered under the US Securities Act of 1933, as amended (the “Securities Act”) or any state securities laws, and may not at any time be offered, sold, pledged or otherwise transferred, directly or indirectly, in the United States or to, or for the account or benefit of, US Persons (as such term is defined in Regulation S under the Securities Act) unless registered under the Securities Act or pursuant to an exemption from such registration.</w:t>
            </w:r>
          </w:p>
        </w:tc>
      </w:tr>
      <w:tr w:rsidR="00F22CB9" w:rsidRPr="00005390" w14:paraId="228E4F2E" w14:textId="77777777" w:rsidTr="00713224">
        <w:tc>
          <w:tcPr>
            <w:tcW w:w="2473" w:type="dxa"/>
          </w:tcPr>
          <w:p w14:paraId="4620BB9E" w14:textId="77777777" w:rsidR="00F22CB9" w:rsidRPr="00005390" w:rsidRDefault="00F22CB9" w:rsidP="00713224">
            <w:pPr>
              <w:autoSpaceDE w:val="0"/>
              <w:autoSpaceDN w:val="0"/>
              <w:adjustRightInd w:val="0"/>
              <w:spacing w:line="200" w:lineRule="atLeast"/>
              <w:jc w:val="both"/>
              <w:rPr>
                <w:rFonts w:ascii="Arial" w:hAnsi="Arial" w:cs="Arial"/>
                <w:b/>
                <w:bCs/>
                <w:sz w:val="16"/>
                <w:szCs w:val="16"/>
              </w:rPr>
            </w:pPr>
            <w:r w:rsidRPr="00005390">
              <w:rPr>
                <w:rFonts w:ascii="Arial" w:hAnsi="Arial" w:cs="Arial"/>
                <w:b/>
                <w:bCs/>
                <w:sz w:val="16"/>
                <w:szCs w:val="16"/>
              </w:rPr>
              <w:t>Canadian Offering Information:</w:t>
            </w:r>
          </w:p>
        </w:tc>
        <w:tc>
          <w:tcPr>
            <w:tcW w:w="7519" w:type="dxa"/>
          </w:tcPr>
          <w:p w14:paraId="70CA78EF"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 xml:space="preserve">The Notes have not been and will not be qualified for sale under the securities laws of any province or territory of Canada. Each Dealer has represented and agreed that it has not offered, sold or distributed and will not offer, sell or distribute any securities, directly or indirectly, in Canada or to or for the benefit of any resident of Canada, other than in compliance with applicable securities laws. Each Dealer has also represented and agreed that it has not distributed or delivered and will not distribute or deliver this </w:t>
            </w:r>
            <w:proofErr w:type="spellStart"/>
            <w:r w:rsidRPr="00005390">
              <w:rPr>
                <w:rFonts w:ascii="Arial" w:hAnsi="Arial" w:cs="Arial"/>
                <w:sz w:val="16"/>
                <w:szCs w:val="16"/>
              </w:rPr>
              <w:t>termsheet</w:t>
            </w:r>
            <w:proofErr w:type="spellEnd"/>
            <w:r w:rsidRPr="00005390">
              <w:rPr>
                <w:rFonts w:ascii="Arial" w:hAnsi="Arial" w:cs="Arial"/>
                <w:sz w:val="16"/>
                <w:szCs w:val="16"/>
              </w:rPr>
              <w:t>, or any other offering material in connection with any offering of the securities, in Canada other than in compliance with applicable securities laws.</w:t>
            </w:r>
          </w:p>
        </w:tc>
      </w:tr>
      <w:tr w:rsidR="00F22CB9" w:rsidRPr="00005390" w14:paraId="07104098" w14:textId="77777777" w:rsidTr="00713224">
        <w:trPr>
          <w:trHeight w:val="6125"/>
        </w:trPr>
        <w:tc>
          <w:tcPr>
            <w:tcW w:w="2473" w:type="dxa"/>
          </w:tcPr>
          <w:p w14:paraId="48804FFB" w14:textId="77777777" w:rsidR="00F22CB9" w:rsidRPr="00005390" w:rsidRDefault="00F22CB9" w:rsidP="00713224">
            <w:pPr>
              <w:autoSpaceDE w:val="0"/>
              <w:autoSpaceDN w:val="0"/>
              <w:adjustRightInd w:val="0"/>
              <w:spacing w:line="200" w:lineRule="atLeast"/>
              <w:jc w:val="both"/>
              <w:rPr>
                <w:rFonts w:ascii="Arial" w:hAnsi="Arial" w:cs="Arial"/>
                <w:b/>
                <w:bCs/>
                <w:sz w:val="16"/>
                <w:szCs w:val="16"/>
              </w:rPr>
            </w:pPr>
            <w:r w:rsidRPr="00005390">
              <w:rPr>
                <w:rFonts w:ascii="Arial" w:hAnsi="Arial" w:cs="Arial"/>
                <w:b/>
                <w:bCs/>
                <w:sz w:val="16"/>
                <w:szCs w:val="16"/>
              </w:rPr>
              <w:t>EEA Retail Investor Offering Information:</w:t>
            </w:r>
          </w:p>
        </w:tc>
        <w:tc>
          <w:tcPr>
            <w:tcW w:w="7519" w:type="dxa"/>
          </w:tcPr>
          <w:p w14:paraId="7D8939D4"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 xml:space="preserve">The Base Prospectus (as contemplated by the Final Terms of the Notes) has been prepared on the basis that any offer of Notes in any Member State of the European Economic Area (“EEA”) which has implemented Regulation (EU) 2017/1129 (the “Prospectus Regulation”) will be made pursuant to an exemption under the Prospectus Regulation, as implemented in the Relevant State, from the requirement to publish a prospectus for offers of Notes.  Accordingly, the Notes should not be sold or offered, directly or indirectly, to persons in any Relevant State except in circumstances which would not require the publication of a prospectus and any person making or intending to make an offer in that Relevant State of Notes should only do so in circumstances in which no obligation arises for the Issuer or RBC Europe Limited to publish a prospectus pursuant to Article 3 of the Prospectus Regulation or supplement a prospectus pursuant to Article 23 of the Prospectus Regulation in relation to such offer. No recipient of this </w:t>
            </w:r>
            <w:proofErr w:type="spellStart"/>
            <w:r w:rsidRPr="00005390">
              <w:rPr>
                <w:rFonts w:ascii="Arial" w:hAnsi="Arial" w:cs="Arial"/>
                <w:sz w:val="16"/>
                <w:szCs w:val="16"/>
              </w:rPr>
              <w:t>termsheet</w:t>
            </w:r>
            <w:proofErr w:type="spellEnd"/>
            <w:r w:rsidRPr="00005390">
              <w:rPr>
                <w:rFonts w:ascii="Arial" w:hAnsi="Arial" w:cs="Arial"/>
                <w:sz w:val="16"/>
                <w:szCs w:val="16"/>
              </w:rPr>
              <w:t xml:space="preserve"> is authorized by any person to act in a way which would result in an offer to it </w:t>
            </w:r>
            <w:proofErr w:type="gramStart"/>
            <w:r w:rsidRPr="00005390">
              <w:rPr>
                <w:rFonts w:ascii="Arial" w:hAnsi="Arial" w:cs="Arial"/>
                <w:sz w:val="16"/>
                <w:szCs w:val="16"/>
              </w:rPr>
              <w:t>being considered to be</w:t>
            </w:r>
            <w:proofErr w:type="gramEnd"/>
            <w:r w:rsidRPr="00005390">
              <w:rPr>
                <w:rFonts w:ascii="Arial" w:hAnsi="Arial" w:cs="Arial"/>
                <w:sz w:val="16"/>
                <w:szCs w:val="16"/>
              </w:rPr>
              <w:t xml:space="preserve"> a placement through an intermediary for the purposes of the Prospectus Regulation.</w:t>
            </w:r>
          </w:p>
          <w:p w14:paraId="147C7E91" w14:textId="77777777" w:rsidR="00F22CB9" w:rsidRPr="00005390" w:rsidRDefault="00F22CB9" w:rsidP="00713224">
            <w:pPr>
              <w:spacing w:after="80" w:line="240" w:lineRule="atLeast"/>
              <w:jc w:val="both"/>
              <w:rPr>
                <w:rFonts w:ascii="Arial" w:hAnsi="Arial" w:cs="Arial"/>
                <w:sz w:val="16"/>
                <w:szCs w:val="16"/>
              </w:rPr>
            </w:pPr>
            <w:r w:rsidRPr="00005390">
              <w:rPr>
                <w:rFonts w:ascii="Arial" w:hAnsi="Arial" w:cs="Arial"/>
                <w:sz w:val="16"/>
                <w:szCs w:val="16"/>
              </w:rPr>
              <w:t>The Notes are not intended to be offered, sold or otherwise made available to and should not be offered, sold or otherwise made available to any retail investor in the EEA or the UK without an up-to-date PRIIPS KID being in place with the prior written consent of RBC Europe Limited and provided in accordance with the PRIIPS Regulation. For these purposes, a retail investor means a person who is one (or more) of: (</w:t>
            </w:r>
            <w:proofErr w:type="spellStart"/>
            <w:r w:rsidRPr="00005390">
              <w:rPr>
                <w:rFonts w:ascii="Arial" w:hAnsi="Arial" w:cs="Arial"/>
                <w:sz w:val="16"/>
                <w:szCs w:val="16"/>
              </w:rPr>
              <w:t>i</w:t>
            </w:r>
            <w:proofErr w:type="spellEnd"/>
            <w:r w:rsidRPr="00005390">
              <w:rPr>
                <w:rFonts w:ascii="Arial" w:hAnsi="Arial" w:cs="Arial"/>
                <w:sz w:val="16"/>
                <w:szCs w:val="16"/>
              </w:rPr>
              <w:t>) a retail client as defined in point (11) of Article 4(1) of Directive 2014/65/EU (as amended, “MiFID II”); or (ii) a customer within the meaning of Directive (EU) 2016/97, where that customer would not qualify as a professional client as defined in point (10) of Article 4(1) of MiFID II; or (iii) not a qualified investor as defined in Regulation (EU) 2017/1129 (the “Prospectus Regulation”). If the aforementioned consent of RBC Europe Limited has not been received then no key information document required by Regulation (EU) No 1286/2014 (as amended, the “PRIIPs Regulation”) for offering or selling the Notes or otherwise making them available to retail investors in the EEA or in the UK has been prepared and therefore offering or selling the Notes or otherwise making them available to any retail investor in the EEA or in the UK may be unlawful under the PRIIPs Regulation.</w:t>
            </w:r>
          </w:p>
        </w:tc>
      </w:tr>
      <w:tr w:rsidR="00F22CB9" w:rsidRPr="00005390" w14:paraId="15DDBA06" w14:textId="77777777" w:rsidTr="00713224">
        <w:tc>
          <w:tcPr>
            <w:tcW w:w="2473" w:type="dxa"/>
          </w:tcPr>
          <w:p w14:paraId="158AB860" w14:textId="77777777" w:rsidR="00F22CB9" w:rsidRPr="00005390" w:rsidRDefault="00F22CB9" w:rsidP="00713224">
            <w:pPr>
              <w:autoSpaceDE w:val="0"/>
              <w:autoSpaceDN w:val="0"/>
              <w:adjustRightInd w:val="0"/>
              <w:spacing w:line="200" w:lineRule="atLeast"/>
              <w:jc w:val="both"/>
              <w:rPr>
                <w:rFonts w:ascii="Arial" w:hAnsi="Arial" w:cs="Arial"/>
                <w:b/>
                <w:bCs/>
                <w:sz w:val="16"/>
                <w:szCs w:val="16"/>
              </w:rPr>
            </w:pPr>
            <w:r w:rsidRPr="00005390">
              <w:rPr>
                <w:rFonts w:ascii="Arial" w:hAnsi="Arial"/>
                <w:b/>
                <w:sz w:val="16"/>
                <w:szCs w:val="20"/>
                <w:lang w:val="en-AU"/>
              </w:rPr>
              <w:t>UK Retail Investor Offering Information:</w:t>
            </w:r>
          </w:p>
        </w:tc>
        <w:tc>
          <w:tcPr>
            <w:tcW w:w="7519" w:type="dxa"/>
          </w:tcPr>
          <w:p w14:paraId="05CFF459" w14:textId="77777777" w:rsidR="00F22CB9" w:rsidRPr="00005390" w:rsidRDefault="00F22CB9" w:rsidP="00713224">
            <w:pPr>
              <w:spacing w:after="80" w:line="240" w:lineRule="atLeast"/>
              <w:jc w:val="both"/>
              <w:rPr>
                <w:rFonts w:ascii="Arial" w:hAnsi="Arial" w:cs="Arial"/>
                <w:sz w:val="16"/>
                <w:szCs w:val="16"/>
              </w:rPr>
            </w:pPr>
            <w:r w:rsidRPr="00005390">
              <w:rPr>
                <w:rFonts w:ascii="Arial" w:hAnsi="Arial" w:cs="Arial"/>
                <w:sz w:val="16"/>
                <w:szCs w:val="16"/>
              </w:rPr>
              <w:t>The Notes are not intended to be offered, sold or otherwise made available to and should not be offered, sold or otherwise made available to any retail investor in the United Kingdom (“UK”). For these purposes, a retail investor means a person who is one (or more) of: (</w:t>
            </w:r>
            <w:proofErr w:type="spellStart"/>
            <w:r w:rsidRPr="00005390">
              <w:rPr>
                <w:rFonts w:ascii="Arial" w:hAnsi="Arial" w:cs="Arial"/>
                <w:sz w:val="16"/>
                <w:szCs w:val="16"/>
              </w:rPr>
              <w:t>i</w:t>
            </w:r>
            <w:proofErr w:type="spellEnd"/>
            <w:r w:rsidRPr="00005390">
              <w:rPr>
                <w:rFonts w:ascii="Arial" w:hAnsi="Arial" w:cs="Arial"/>
                <w:sz w:val="16"/>
                <w:szCs w:val="16"/>
              </w:rPr>
              <w:t xml:space="preserve">) a retail client as defined in point (8) of Article 2 of Regulation (EU) No 2017/565 as it forms part of domestic law by virtue of the European Union (Withdrawal) Act 2018 (“EUWA”); or (ii) a customer within the meaning of provisions of the FSMA and any rules or regulations made under the Financial Services and Markets Act 2000 (the “FSMA”) to implement Directive (EU) 2016/97, where that customer would not qualify as a professional client, as defined in point (8) of Article 2(1) of Regulation (EU) No 600/2014 as it forms part of domestic law by virtue of the EUWA; or (iii) as defined in Article 2 of Regulation (EU) 2017/1129 as it forms part of domestic law by virtue of the EUWA. Consequently no key information document (“KID”) required by Regulation (EU) No 1286/2014 as it forms part of domestic law by virtue of the EUWA (the “UK PRIIPs Regulation”) for offering or selling the Notes or otherwise making them </w:t>
            </w:r>
            <w:r w:rsidRPr="00005390">
              <w:rPr>
                <w:rFonts w:ascii="Arial" w:hAnsi="Arial" w:cs="Arial"/>
                <w:sz w:val="16"/>
                <w:szCs w:val="16"/>
              </w:rPr>
              <w:lastRenderedPageBreak/>
              <w:t>available to retail investors in the EEA or in the UK has been prepared and therefore offering or selling the Notes or otherwise making them available to any retail investor in the UK may be unlawful under the UK PRIIPs Regulation.</w:t>
            </w:r>
          </w:p>
        </w:tc>
      </w:tr>
      <w:tr w:rsidR="00F22CB9" w:rsidRPr="00005390" w14:paraId="32087B65" w14:textId="77777777" w:rsidTr="00713224">
        <w:tc>
          <w:tcPr>
            <w:tcW w:w="2473" w:type="dxa"/>
          </w:tcPr>
          <w:p w14:paraId="76363ACA" w14:textId="77777777" w:rsidR="00F22CB9" w:rsidRPr="00005390" w:rsidRDefault="00F22CB9" w:rsidP="00713224">
            <w:pPr>
              <w:autoSpaceDE w:val="0"/>
              <w:autoSpaceDN w:val="0"/>
              <w:adjustRightInd w:val="0"/>
              <w:spacing w:line="200" w:lineRule="atLeast"/>
              <w:jc w:val="both"/>
              <w:rPr>
                <w:rFonts w:ascii="Arial" w:hAnsi="Arial"/>
                <w:b/>
                <w:sz w:val="16"/>
                <w:szCs w:val="20"/>
                <w:lang w:val="en-AU"/>
              </w:rPr>
            </w:pPr>
            <w:r w:rsidRPr="00005390">
              <w:rPr>
                <w:rFonts w:ascii="Arial" w:hAnsi="Arial"/>
                <w:b/>
                <w:sz w:val="16"/>
                <w:szCs w:val="20"/>
                <w:lang w:val="en-AU"/>
              </w:rPr>
              <w:lastRenderedPageBreak/>
              <w:t>Additional UK Offering Information:</w:t>
            </w:r>
          </w:p>
        </w:tc>
        <w:tc>
          <w:tcPr>
            <w:tcW w:w="7519" w:type="dxa"/>
          </w:tcPr>
          <w:p w14:paraId="197A4395" w14:textId="77777777" w:rsidR="00F22CB9" w:rsidRPr="00005390" w:rsidRDefault="00F22CB9" w:rsidP="00713224">
            <w:pPr>
              <w:spacing w:after="80" w:line="240" w:lineRule="atLeast"/>
              <w:jc w:val="both"/>
              <w:rPr>
                <w:rFonts w:ascii="Arial" w:hAnsi="Arial" w:cs="Arial"/>
                <w:sz w:val="16"/>
                <w:szCs w:val="16"/>
              </w:rPr>
            </w:pPr>
            <w:r w:rsidRPr="00005390">
              <w:rPr>
                <w:rFonts w:ascii="Arial" w:hAnsi="Arial" w:cs="Arial"/>
                <w:sz w:val="16"/>
                <w:szCs w:val="16"/>
              </w:rPr>
              <w:t xml:space="preserve">Each Dealer has represented, warranted and agreed, and each further Dealer appointed under the </w:t>
            </w:r>
            <w:proofErr w:type="spellStart"/>
            <w:r w:rsidRPr="00005390">
              <w:rPr>
                <w:rFonts w:ascii="Arial" w:hAnsi="Arial" w:cs="Arial"/>
                <w:sz w:val="16"/>
                <w:szCs w:val="16"/>
              </w:rPr>
              <w:t>Programme</w:t>
            </w:r>
            <w:proofErr w:type="spellEnd"/>
            <w:r w:rsidRPr="00005390">
              <w:rPr>
                <w:rFonts w:ascii="Arial" w:hAnsi="Arial" w:cs="Arial"/>
                <w:sz w:val="16"/>
                <w:szCs w:val="16"/>
              </w:rPr>
              <w:t xml:space="preserve"> will be required to represent and agree, that:</w:t>
            </w:r>
          </w:p>
          <w:p w14:paraId="027F69B3" w14:textId="77777777" w:rsidR="00F22CB9" w:rsidRPr="00005390" w:rsidRDefault="00F22CB9" w:rsidP="00713224">
            <w:pPr>
              <w:spacing w:after="80" w:line="240" w:lineRule="atLeast"/>
              <w:jc w:val="both"/>
              <w:rPr>
                <w:rFonts w:ascii="Arial" w:hAnsi="Arial" w:cs="Arial"/>
                <w:sz w:val="16"/>
                <w:szCs w:val="16"/>
              </w:rPr>
            </w:pPr>
            <w:r w:rsidRPr="00005390">
              <w:rPr>
                <w:rFonts w:ascii="Arial" w:hAnsi="Arial" w:cs="Arial"/>
                <w:sz w:val="16"/>
                <w:szCs w:val="16"/>
              </w:rPr>
              <w:t>(a)</w:t>
            </w:r>
            <w:r w:rsidRPr="00005390">
              <w:rPr>
                <w:rFonts w:ascii="Arial" w:hAnsi="Arial" w:cs="Arial"/>
                <w:sz w:val="16"/>
                <w:szCs w:val="16"/>
              </w:rPr>
              <w:tab/>
              <w:t>it has only communicated or caused to be communicated and will only communicate or cause to be communicated an invitation or inducement to engage in investment activity (within the meaning of Section 21 of the FSMA) received by it in connection with the issue or sale of any Securities in circumstances in which Section 21(1) of the FSMA would not, if the Issuer was not an authorized person, apply to the Issuer; and</w:t>
            </w:r>
          </w:p>
          <w:p w14:paraId="6D069ED6" w14:textId="77777777" w:rsidR="00F22CB9" w:rsidRPr="00005390" w:rsidRDefault="00F22CB9" w:rsidP="00713224">
            <w:pPr>
              <w:spacing w:after="80" w:line="240" w:lineRule="atLeast"/>
              <w:jc w:val="both"/>
              <w:rPr>
                <w:rFonts w:ascii="Arial" w:hAnsi="Arial" w:cs="Arial"/>
                <w:sz w:val="16"/>
                <w:szCs w:val="16"/>
              </w:rPr>
            </w:pPr>
            <w:r w:rsidRPr="00005390">
              <w:rPr>
                <w:rFonts w:ascii="Arial" w:hAnsi="Arial" w:cs="Arial"/>
                <w:sz w:val="16"/>
                <w:szCs w:val="16"/>
              </w:rPr>
              <w:t>(b)</w:t>
            </w:r>
            <w:r w:rsidRPr="00005390">
              <w:rPr>
                <w:rFonts w:ascii="Arial" w:hAnsi="Arial" w:cs="Arial"/>
                <w:sz w:val="16"/>
                <w:szCs w:val="16"/>
              </w:rPr>
              <w:tab/>
              <w:t>it has complied and will comply with all applicable provisions of the FSMA with respect to anything done by it in relation to any Securities in, from or otherwise involving the United Kingdom.</w:t>
            </w:r>
          </w:p>
        </w:tc>
      </w:tr>
      <w:tr w:rsidR="00F22CB9" w:rsidRPr="00005390" w14:paraId="09322244" w14:textId="77777777" w:rsidTr="00713224">
        <w:tc>
          <w:tcPr>
            <w:tcW w:w="2473" w:type="dxa"/>
          </w:tcPr>
          <w:p w14:paraId="0A72A1A5" w14:textId="77777777" w:rsidR="00F22CB9" w:rsidRPr="00005390" w:rsidRDefault="00F22CB9" w:rsidP="00713224">
            <w:pPr>
              <w:autoSpaceDE w:val="0"/>
              <w:autoSpaceDN w:val="0"/>
              <w:adjustRightInd w:val="0"/>
              <w:spacing w:line="200" w:lineRule="atLeast"/>
              <w:rPr>
                <w:rFonts w:ascii="Arial" w:hAnsi="Arial" w:cs="Arial"/>
                <w:b/>
                <w:bCs/>
                <w:sz w:val="16"/>
                <w:szCs w:val="16"/>
              </w:rPr>
            </w:pPr>
            <w:r w:rsidRPr="00005390">
              <w:rPr>
                <w:rFonts w:ascii="Arial" w:hAnsi="Arial" w:cs="Arial"/>
                <w:b/>
                <w:bCs/>
                <w:sz w:val="16"/>
                <w:szCs w:val="16"/>
              </w:rPr>
              <w:t>Hong Kong Offering Information:</w:t>
            </w:r>
          </w:p>
        </w:tc>
        <w:tc>
          <w:tcPr>
            <w:tcW w:w="7519" w:type="dxa"/>
          </w:tcPr>
          <w:p w14:paraId="6AAFE326"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WARNING</w:t>
            </w:r>
          </w:p>
          <w:p w14:paraId="78AA0916"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 xml:space="preserve">The contents of this </w:t>
            </w:r>
            <w:proofErr w:type="spellStart"/>
            <w:r w:rsidRPr="00005390">
              <w:rPr>
                <w:rFonts w:ascii="Arial" w:hAnsi="Arial" w:cs="Arial"/>
                <w:sz w:val="16"/>
                <w:szCs w:val="16"/>
              </w:rPr>
              <w:t>termsheet</w:t>
            </w:r>
            <w:proofErr w:type="spellEnd"/>
            <w:r w:rsidRPr="00005390">
              <w:rPr>
                <w:rFonts w:ascii="Arial" w:hAnsi="Arial" w:cs="Arial"/>
                <w:sz w:val="16"/>
                <w:szCs w:val="16"/>
              </w:rPr>
              <w:t xml:space="preserve"> have not been reviewed by any regulatory authority in Hong Kong or any other jurisdiction. You are advised to exercise caution in relation to the offer. If you are in any doubt about any of the contents of this </w:t>
            </w:r>
            <w:proofErr w:type="spellStart"/>
            <w:r w:rsidRPr="00005390">
              <w:rPr>
                <w:rFonts w:ascii="Arial" w:hAnsi="Arial" w:cs="Arial"/>
                <w:sz w:val="16"/>
                <w:szCs w:val="16"/>
              </w:rPr>
              <w:t>termsheet</w:t>
            </w:r>
            <w:proofErr w:type="spellEnd"/>
            <w:r w:rsidRPr="00005390">
              <w:rPr>
                <w:rFonts w:ascii="Arial" w:hAnsi="Arial" w:cs="Arial"/>
                <w:sz w:val="16"/>
                <w:szCs w:val="16"/>
              </w:rPr>
              <w:t>, you should obtain independent professional advice.</w:t>
            </w:r>
          </w:p>
          <w:p w14:paraId="2E2B7A7E"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This is a structured product which involves derivatives. Do not invest in it unless you fully understand and are willing to assume the risks associated with it. If you are in any doubt about the risks involved in the product, you may clarify with the intermediary or seek independent professional advice.</w:t>
            </w:r>
          </w:p>
          <w:p w14:paraId="55070405" w14:textId="77777777" w:rsidR="00F22CB9" w:rsidRPr="00005390" w:rsidRDefault="00F22CB9" w:rsidP="00713224">
            <w:pPr>
              <w:autoSpaceDE w:val="0"/>
              <w:autoSpaceDN w:val="0"/>
              <w:adjustRightInd w:val="0"/>
              <w:spacing w:after="120" w:line="240" w:lineRule="atLeast"/>
              <w:rPr>
                <w:rFonts w:ascii="Arial" w:hAnsi="Arial" w:cs="Arial"/>
                <w:sz w:val="16"/>
                <w:szCs w:val="16"/>
              </w:rPr>
            </w:pPr>
            <w:r w:rsidRPr="00005390">
              <w:rPr>
                <w:rFonts w:ascii="Arial" w:hAnsi="Arial" w:cs="Arial"/>
                <w:sz w:val="16"/>
                <w:szCs w:val="16"/>
              </w:rPr>
              <w:t xml:space="preserve">This </w:t>
            </w:r>
            <w:proofErr w:type="spellStart"/>
            <w:r w:rsidRPr="00005390">
              <w:rPr>
                <w:rFonts w:ascii="Arial" w:hAnsi="Arial" w:cs="Arial"/>
                <w:sz w:val="16"/>
                <w:szCs w:val="16"/>
              </w:rPr>
              <w:t>termsheet</w:t>
            </w:r>
            <w:proofErr w:type="spellEnd"/>
            <w:r w:rsidRPr="00005390">
              <w:rPr>
                <w:rFonts w:ascii="Arial" w:hAnsi="Arial" w:cs="Arial"/>
                <w:sz w:val="16"/>
                <w:szCs w:val="16"/>
              </w:rPr>
              <w:t xml:space="preserve"> has not been approved by the Securities and Futures Commission in Hong Kong and, accordingly, (</w:t>
            </w:r>
            <w:proofErr w:type="spellStart"/>
            <w:r w:rsidRPr="00005390">
              <w:rPr>
                <w:rFonts w:ascii="Arial" w:hAnsi="Arial" w:cs="Arial"/>
                <w:sz w:val="16"/>
                <w:szCs w:val="16"/>
              </w:rPr>
              <w:t>i</w:t>
            </w:r>
            <w:proofErr w:type="spellEnd"/>
            <w:r w:rsidRPr="00005390">
              <w:rPr>
                <w:rFonts w:ascii="Arial" w:hAnsi="Arial" w:cs="Arial"/>
                <w:sz w:val="16"/>
                <w:szCs w:val="16"/>
              </w:rPr>
              <w:t xml:space="preserve">) the Notes (except for Notes which are “structured products” as defined in the Securities and Futures Ordinance (Cap. 571) of Hong Kong (the “SFO”)) may not be offered or sold in Hong Kong by means of this </w:t>
            </w:r>
            <w:proofErr w:type="spellStart"/>
            <w:r w:rsidRPr="00005390">
              <w:rPr>
                <w:rFonts w:ascii="Arial" w:hAnsi="Arial" w:cs="Arial"/>
                <w:sz w:val="16"/>
                <w:szCs w:val="16"/>
              </w:rPr>
              <w:t>termsheet</w:t>
            </w:r>
            <w:proofErr w:type="spellEnd"/>
            <w:r w:rsidRPr="00005390">
              <w:rPr>
                <w:rFonts w:ascii="Arial" w:hAnsi="Arial" w:cs="Arial"/>
                <w:sz w:val="16"/>
                <w:szCs w:val="16"/>
              </w:rPr>
              <w:t xml:space="preserve"> or any other document other than to “professional investors” as defined in the SFO and any rules made thereunder, or in other circumstances which do not result in the </w:t>
            </w:r>
            <w:proofErr w:type="spellStart"/>
            <w:r w:rsidRPr="00005390">
              <w:rPr>
                <w:rFonts w:ascii="Arial" w:hAnsi="Arial" w:cs="Arial"/>
                <w:sz w:val="16"/>
                <w:szCs w:val="16"/>
              </w:rPr>
              <w:t>termsheet</w:t>
            </w:r>
            <w:proofErr w:type="spellEnd"/>
            <w:r w:rsidRPr="00005390">
              <w:rPr>
                <w:rFonts w:ascii="Arial" w:hAnsi="Arial" w:cs="Arial"/>
                <w:sz w:val="16"/>
                <w:szCs w:val="16"/>
              </w:rPr>
              <w:t xml:space="preserve"> being a “prospectus” as defined in the Companies (Winding Up and Miscellaneous Provisions) Ordinance (Cap. 32) of Hong Kong (the “C(WUMP)O”) or which do not constitute an offer to the public within the meaning of C(WUMP)O, and (ii) no person shall issue or possess for the purposes of issue, whether in Hong Kong or elsewhere, any advertisement, invitation or </w:t>
            </w:r>
            <w:proofErr w:type="spellStart"/>
            <w:r w:rsidRPr="00005390">
              <w:rPr>
                <w:rFonts w:ascii="Arial" w:hAnsi="Arial" w:cs="Arial"/>
                <w:sz w:val="16"/>
                <w:szCs w:val="16"/>
              </w:rPr>
              <w:t>termsheet</w:t>
            </w:r>
            <w:proofErr w:type="spellEnd"/>
            <w:r w:rsidRPr="00005390">
              <w:rPr>
                <w:rFonts w:ascii="Arial" w:hAnsi="Arial" w:cs="Arial"/>
                <w:sz w:val="16"/>
                <w:szCs w:val="16"/>
              </w:rPr>
              <w:t xml:space="preserve"> relating to the Notes which is directed at, or the contents of which are likely to be accessed or read by, the public of Hong Kong (except if permitted to do so under the securities laws of Hong Kong) other than with respect to the Notes which are or are intended to be disposed of only to persons outside Hong Kong or only to “professional investors” as defined in the Securities and Futures Ordinance and any rules made thereunder. For distribution through Hong Kong, Royal Bank of Canada Hong Kong Branch and/or its associates will receive monetary benefits in distributing this product.</w:t>
            </w:r>
          </w:p>
        </w:tc>
      </w:tr>
      <w:tr w:rsidR="00F22CB9" w:rsidRPr="00005390" w14:paraId="4B44E7A4" w14:textId="77777777" w:rsidTr="00713224">
        <w:tc>
          <w:tcPr>
            <w:tcW w:w="2473" w:type="dxa"/>
          </w:tcPr>
          <w:p w14:paraId="63593423" w14:textId="77777777" w:rsidR="00F22CB9" w:rsidRPr="00005390" w:rsidRDefault="00F22CB9" w:rsidP="00713224">
            <w:pPr>
              <w:autoSpaceDE w:val="0"/>
              <w:autoSpaceDN w:val="0"/>
              <w:adjustRightInd w:val="0"/>
              <w:spacing w:line="200" w:lineRule="atLeast"/>
              <w:rPr>
                <w:rFonts w:ascii="Arial" w:hAnsi="Arial" w:cs="Arial"/>
                <w:b/>
                <w:bCs/>
                <w:sz w:val="16"/>
                <w:szCs w:val="16"/>
              </w:rPr>
            </w:pPr>
            <w:r w:rsidRPr="00005390">
              <w:rPr>
                <w:rFonts w:ascii="Arial" w:hAnsi="Arial" w:cs="Arial"/>
                <w:b/>
                <w:bCs/>
                <w:sz w:val="16"/>
                <w:szCs w:val="16"/>
              </w:rPr>
              <w:t>Taiwan Offering Information:</w:t>
            </w:r>
          </w:p>
        </w:tc>
        <w:tc>
          <w:tcPr>
            <w:tcW w:w="7519" w:type="dxa"/>
          </w:tcPr>
          <w:p w14:paraId="70320DB6" w14:textId="77777777" w:rsidR="00F22CB9" w:rsidRPr="00005390" w:rsidRDefault="00F22CB9" w:rsidP="00713224">
            <w:pPr>
              <w:autoSpaceDE w:val="0"/>
              <w:autoSpaceDN w:val="0"/>
              <w:adjustRightInd w:val="0"/>
              <w:spacing w:after="80" w:line="240" w:lineRule="atLeast"/>
              <w:rPr>
                <w:rFonts w:ascii="Arial" w:hAnsi="Arial" w:cs="Arial"/>
                <w:sz w:val="16"/>
                <w:szCs w:val="16"/>
              </w:rPr>
            </w:pPr>
            <w:r w:rsidRPr="00005390">
              <w:rPr>
                <w:rFonts w:ascii="Arial" w:hAnsi="Arial" w:cs="Arial"/>
                <w:sz w:val="16"/>
                <w:szCs w:val="16"/>
              </w:rPr>
              <w:t xml:space="preserve">The Securities have not been and will not be registered or filed with, or approved by, the Financial Supervisory Commission of Taiwan and/or other regulatory authority or agency of Taiwan pursuant to relevant securities laws and regulations of Taiwan and may not be issued, offered or sold within Taiwan through a public offering or in circumstances which constitute an offer within the meaning of the Securities and Exchange Act of Taiwan that requires a registration, filing or approval of the Financial Supervisory Commission of Taiwan and/or other regulatory authority or agency of Taiwan. No person or entity in Taiwan has been </w:t>
            </w:r>
            <w:proofErr w:type="spellStart"/>
            <w:r w:rsidRPr="00005390">
              <w:rPr>
                <w:rFonts w:ascii="Arial" w:hAnsi="Arial" w:cs="Arial"/>
                <w:sz w:val="16"/>
                <w:szCs w:val="16"/>
              </w:rPr>
              <w:t>authorised</w:t>
            </w:r>
            <w:proofErr w:type="spellEnd"/>
            <w:r w:rsidRPr="00005390">
              <w:rPr>
                <w:rFonts w:ascii="Arial" w:hAnsi="Arial" w:cs="Arial"/>
                <w:sz w:val="16"/>
                <w:szCs w:val="16"/>
              </w:rPr>
              <w:t xml:space="preserve"> to offer or sell the Securities in Taiwan.</w:t>
            </w:r>
          </w:p>
        </w:tc>
      </w:tr>
      <w:tr w:rsidR="00F22CB9" w:rsidRPr="00005390" w14:paraId="5AA7B204" w14:textId="77777777" w:rsidTr="00713224">
        <w:tc>
          <w:tcPr>
            <w:tcW w:w="2473" w:type="dxa"/>
          </w:tcPr>
          <w:p w14:paraId="2D776767" w14:textId="77777777" w:rsidR="00F22CB9" w:rsidRPr="00005390" w:rsidRDefault="00F22CB9" w:rsidP="00713224">
            <w:pPr>
              <w:autoSpaceDE w:val="0"/>
              <w:autoSpaceDN w:val="0"/>
              <w:adjustRightInd w:val="0"/>
              <w:spacing w:line="200" w:lineRule="atLeast"/>
              <w:jc w:val="both"/>
              <w:rPr>
                <w:rFonts w:ascii="Arial" w:hAnsi="Arial" w:cs="Arial"/>
                <w:b/>
                <w:bCs/>
                <w:sz w:val="16"/>
                <w:szCs w:val="16"/>
              </w:rPr>
            </w:pPr>
            <w:r w:rsidRPr="00005390">
              <w:rPr>
                <w:rFonts w:ascii="Arial" w:hAnsi="Arial" w:cs="Arial"/>
                <w:b/>
                <w:bCs/>
                <w:sz w:val="16"/>
                <w:szCs w:val="16"/>
              </w:rPr>
              <w:t>The Republic of Korea Offering Information:</w:t>
            </w:r>
          </w:p>
        </w:tc>
        <w:tc>
          <w:tcPr>
            <w:tcW w:w="7519" w:type="dxa"/>
          </w:tcPr>
          <w:p w14:paraId="58C6B8AD"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The Securities have not been and will not be registered with the Financial Services Commission of Korea for public offering in Korea under the Financial Investment Services and Capital Markets Act (the “FSCMA”).  The certificate of Securities shall not be sub-divided for a period of one year from the date of issuance of the Securities.  The Securities may not be resold to Korean residents unless the purchaser of the Securities complies with all applicable regulatory requirements (including but not limited to government reporting requirements under the Foreign Exchange Transaction Law and its subordinate decrees and regulations) in connection with the purchase of the Securities.</w:t>
            </w:r>
          </w:p>
        </w:tc>
      </w:tr>
      <w:tr w:rsidR="00F22CB9" w:rsidRPr="00005390" w14:paraId="7292D19F" w14:textId="77777777" w:rsidTr="00713224">
        <w:tc>
          <w:tcPr>
            <w:tcW w:w="2473" w:type="dxa"/>
          </w:tcPr>
          <w:p w14:paraId="6E65363E" w14:textId="77777777" w:rsidR="00F22CB9" w:rsidRPr="00005390" w:rsidRDefault="00F22CB9" w:rsidP="00713224">
            <w:pPr>
              <w:autoSpaceDE w:val="0"/>
              <w:autoSpaceDN w:val="0"/>
              <w:adjustRightInd w:val="0"/>
              <w:spacing w:line="200" w:lineRule="atLeast"/>
              <w:jc w:val="both"/>
              <w:rPr>
                <w:rFonts w:ascii="Arial" w:hAnsi="Arial" w:cs="Arial"/>
                <w:b/>
                <w:bCs/>
                <w:sz w:val="16"/>
                <w:szCs w:val="16"/>
              </w:rPr>
            </w:pPr>
            <w:r w:rsidRPr="00005390">
              <w:rPr>
                <w:rFonts w:ascii="Arial" w:hAnsi="Arial" w:cs="Arial"/>
                <w:b/>
                <w:bCs/>
                <w:sz w:val="16"/>
                <w:szCs w:val="16"/>
              </w:rPr>
              <w:t>Singapore Offering Information:</w:t>
            </w:r>
          </w:p>
        </w:tc>
        <w:tc>
          <w:tcPr>
            <w:tcW w:w="7519" w:type="dxa"/>
          </w:tcPr>
          <w:p w14:paraId="3BDECCDA"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 xml:space="preserve">Each Dealer acknowledges that the Base Prospectus has not been, and will not be, registered as a prospectus with the Monetary Authority of Singapore. Accordingly, each Dealer represents, warrants, and agrees that it has not offered or sold any Notes or caused the Notes to be made the subject of an invitation for subscription or purchase and will not offer or sell any Notes or cause the Notes to be </w:t>
            </w:r>
            <w:r w:rsidRPr="00005390">
              <w:rPr>
                <w:rFonts w:ascii="Arial" w:hAnsi="Arial" w:cs="Arial"/>
                <w:sz w:val="16"/>
                <w:szCs w:val="16"/>
              </w:rPr>
              <w:lastRenderedPageBreak/>
              <w:t xml:space="preserve">made the subject of an invitation for subscription or purchase, and has not circulated or distributed, nor will it circulate or distribute, the Base Prospectus, this </w:t>
            </w:r>
            <w:proofErr w:type="spellStart"/>
            <w:r w:rsidRPr="00005390">
              <w:rPr>
                <w:rFonts w:ascii="Arial" w:hAnsi="Arial" w:cs="Arial"/>
                <w:sz w:val="16"/>
                <w:szCs w:val="16"/>
              </w:rPr>
              <w:t>termsheet</w:t>
            </w:r>
            <w:proofErr w:type="spellEnd"/>
            <w:r w:rsidRPr="00005390">
              <w:rPr>
                <w:rFonts w:ascii="Arial" w:hAnsi="Arial" w:cs="Arial"/>
                <w:sz w:val="16"/>
                <w:szCs w:val="16"/>
              </w:rPr>
              <w:t xml:space="preserve"> or any other document or material in connection with the offer or sale, or invitation for subscription or purchase, of any Notes, whether directly or indirectly, to any person in Singapore other than (a) to an institutional investor (as defined in Section 4A of the SFA) pursuant to Section 274 of the SFA, (b) to a relevant person (as defined in Section 275(2) of the SFA) pursuant to Section 275(1) of the SFA, or to any person pursuant to Section 275(1A) of the SFA and in accordance with the conditions specified in Section 275 of the SFA or (c) otherwise pursuant to, and in accordance with the conditions of, any other applicable provision of the SFA.</w:t>
            </w:r>
          </w:p>
          <w:p w14:paraId="6D65A96D"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Where the Notes are subscribed or purchased under Section 275 of the SFA by a relevant person which is:</w:t>
            </w:r>
          </w:p>
          <w:p w14:paraId="70219974"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(a) a corporation (which is not an accredited investor (as defined in Section 4A of the SFA) the sole business of which is to hold investments and the entire share capital of which is owned by one or more individuals, each of whom is accredited investor; or</w:t>
            </w:r>
          </w:p>
          <w:p w14:paraId="5408F5D8"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(b) a trust (where the trustee is not an accredited investor) whose sole purpose is to hold investments and each beneficiary is an individual who is an accredited investor, securities or securities-based derivative contracts (each term as defined in Section 2(1) of the SFA) of that corporation or the beneficiaries' rights and interest (howsoever described) in that trust shall not be transferred within 6 months after that corporation or that trust has acquired the Notes pursuant to an offer made under Section 275 of the SFA except:</w:t>
            </w:r>
          </w:p>
          <w:p w14:paraId="76CC3F4D"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w:t>
            </w:r>
            <w:proofErr w:type="spellStart"/>
            <w:r w:rsidRPr="00005390">
              <w:rPr>
                <w:rFonts w:ascii="Arial" w:hAnsi="Arial" w:cs="Arial"/>
                <w:sz w:val="16"/>
                <w:szCs w:val="16"/>
              </w:rPr>
              <w:t>i</w:t>
            </w:r>
            <w:proofErr w:type="spellEnd"/>
            <w:r w:rsidRPr="00005390">
              <w:rPr>
                <w:rFonts w:ascii="Arial" w:hAnsi="Arial" w:cs="Arial"/>
                <w:sz w:val="16"/>
                <w:szCs w:val="16"/>
              </w:rPr>
              <w:t>) to an institutional investor or to a relevant person or to any person arising from an offer referred to in Section 275(1A) or Section 276(4)(</w:t>
            </w:r>
            <w:proofErr w:type="spellStart"/>
            <w:r w:rsidRPr="00005390">
              <w:rPr>
                <w:rFonts w:ascii="Arial" w:hAnsi="Arial" w:cs="Arial"/>
                <w:sz w:val="16"/>
                <w:szCs w:val="16"/>
              </w:rPr>
              <w:t>i</w:t>
            </w:r>
            <w:proofErr w:type="spellEnd"/>
            <w:r w:rsidRPr="00005390">
              <w:rPr>
                <w:rFonts w:ascii="Arial" w:hAnsi="Arial" w:cs="Arial"/>
                <w:sz w:val="16"/>
                <w:szCs w:val="16"/>
              </w:rPr>
              <w:t xml:space="preserve">)(B) of the </w:t>
            </w:r>
            <w:proofErr w:type="gramStart"/>
            <w:r w:rsidRPr="00005390">
              <w:rPr>
                <w:rFonts w:ascii="Arial" w:hAnsi="Arial" w:cs="Arial"/>
                <w:sz w:val="16"/>
                <w:szCs w:val="16"/>
              </w:rPr>
              <w:t>SFA;</w:t>
            </w:r>
            <w:proofErr w:type="gramEnd"/>
            <w:r w:rsidRPr="00005390">
              <w:rPr>
                <w:rFonts w:ascii="Arial" w:hAnsi="Arial" w:cs="Arial"/>
                <w:sz w:val="16"/>
                <w:szCs w:val="16"/>
              </w:rPr>
              <w:t xml:space="preserve"> </w:t>
            </w:r>
          </w:p>
          <w:p w14:paraId="14A55307"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 xml:space="preserve">(ii) where no consideration is or will be given for the </w:t>
            </w:r>
            <w:proofErr w:type="gramStart"/>
            <w:r w:rsidRPr="00005390">
              <w:rPr>
                <w:rFonts w:ascii="Arial" w:hAnsi="Arial" w:cs="Arial"/>
                <w:sz w:val="16"/>
                <w:szCs w:val="16"/>
              </w:rPr>
              <w:t>transfer;</w:t>
            </w:r>
            <w:proofErr w:type="gramEnd"/>
            <w:r w:rsidRPr="00005390">
              <w:rPr>
                <w:rFonts w:ascii="Arial" w:hAnsi="Arial" w:cs="Arial"/>
                <w:sz w:val="16"/>
                <w:szCs w:val="16"/>
              </w:rPr>
              <w:t xml:space="preserve"> </w:t>
            </w:r>
          </w:p>
          <w:p w14:paraId="256EF64E"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 xml:space="preserve">(iii) where the transfer is by operation of </w:t>
            </w:r>
            <w:proofErr w:type="gramStart"/>
            <w:r w:rsidRPr="00005390">
              <w:rPr>
                <w:rFonts w:ascii="Arial" w:hAnsi="Arial" w:cs="Arial"/>
                <w:sz w:val="16"/>
                <w:szCs w:val="16"/>
              </w:rPr>
              <w:t>law;</w:t>
            </w:r>
            <w:proofErr w:type="gramEnd"/>
            <w:r w:rsidRPr="00005390">
              <w:rPr>
                <w:rFonts w:ascii="Arial" w:hAnsi="Arial" w:cs="Arial"/>
                <w:sz w:val="16"/>
                <w:szCs w:val="16"/>
              </w:rPr>
              <w:t xml:space="preserve"> </w:t>
            </w:r>
          </w:p>
          <w:p w14:paraId="2CEBE21B"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(iv) as specified in Section 276(7) of the SFA; or</w:t>
            </w:r>
          </w:p>
          <w:p w14:paraId="704E027E"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(v) as specified in Regulation 37A of the Securities and Futures (Offers of Investments) (Securities and Securities–based Derivatives Contracts) Regulations 2018 of Singapore.</w:t>
            </w:r>
          </w:p>
          <w:p w14:paraId="7BC2900F"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p>
          <w:p w14:paraId="721D8C0D" w14:textId="77777777" w:rsidR="00F22CB9" w:rsidRPr="00005390" w:rsidRDefault="00F22CB9" w:rsidP="00713224">
            <w:pPr>
              <w:autoSpaceDE w:val="0"/>
              <w:autoSpaceDN w:val="0"/>
              <w:adjustRightInd w:val="0"/>
              <w:spacing w:after="80" w:line="240" w:lineRule="atLeast"/>
              <w:jc w:val="both"/>
              <w:rPr>
                <w:rFonts w:ascii="Arial" w:hAnsi="Arial" w:cs="Arial"/>
                <w:sz w:val="16"/>
                <w:szCs w:val="16"/>
              </w:rPr>
            </w:pPr>
            <w:r w:rsidRPr="00005390">
              <w:rPr>
                <w:rFonts w:ascii="Arial" w:hAnsi="Arial" w:cs="Arial"/>
                <w:sz w:val="16"/>
                <w:szCs w:val="16"/>
              </w:rPr>
              <w:t>Notification under Section 309B(1)(c) of the Securities and Futures Act (Chapter 289) of Singapore, as modified or amended from time to time (the "SFA") - The W&amp;C Securities shall be (</w:t>
            </w:r>
            <w:proofErr w:type="spellStart"/>
            <w:r w:rsidRPr="00005390">
              <w:rPr>
                <w:rFonts w:ascii="Arial" w:hAnsi="Arial" w:cs="Arial"/>
                <w:sz w:val="16"/>
                <w:szCs w:val="16"/>
              </w:rPr>
              <w:t>i</w:t>
            </w:r>
            <w:proofErr w:type="spellEnd"/>
            <w:r w:rsidRPr="00005390">
              <w:rPr>
                <w:rFonts w:ascii="Arial" w:hAnsi="Arial" w:cs="Arial"/>
                <w:sz w:val="16"/>
                <w:szCs w:val="16"/>
              </w:rPr>
              <w:t>) prescribed capital markets products (as defined in the Securities and Futures (Capital Markets Products) Regulations 2018) and (ii) Excluded Investment Products (as defined in MAS Notice SFA 04-N12: Notice on the Sale of Investment Products and MAS Notice FAA-N16: Notice on Recommendations on Investment Products).</w:t>
            </w:r>
          </w:p>
        </w:tc>
      </w:tr>
    </w:tbl>
    <w:p w14:paraId="0580A731" w14:textId="77777777" w:rsidR="00F22CB9" w:rsidRPr="00005390" w:rsidRDefault="00F22CB9" w:rsidP="00F22CB9">
      <w:pPr>
        <w:pBdr>
          <w:bottom w:val="single" w:sz="18" w:space="1" w:color="auto"/>
        </w:pBdr>
        <w:autoSpaceDE w:val="0"/>
        <w:autoSpaceDN w:val="0"/>
        <w:adjustRightInd w:val="0"/>
        <w:spacing w:before="360"/>
        <w:ind w:left="-539"/>
        <w:rPr>
          <w:rFonts w:ascii="Arial" w:hAnsi="Arial" w:cs="Arial"/>
          <w:sz w:val="16"/>
          <w:szCs w:val="16"/>
        </w:rPr>
      </w:pPr>
      <w:r w:rsidRPr="00005390">
        <w:rPr>
          <w:rFonts w:ascii="Arial" w:hAnsi="Arial" w:cs="Arial"/>
          <w:b/>
          <w:bCs/>
        </w:rPr>
        <w:lastRenderedPageBreak/>
        <w:t>SALES RESTRICTIONS AND DISCLAIMERS</w:t>
      </w:r>
    </w:p>
    <w:tbl>
      <w:tblPr>
        <w:tblW w:w="9540" w:type="dxa"/>
        <w:tblInd w:w="-432" w:type="dxa"/>
        <w:tblLayout w:type="fixed"/>
        <w:tblLook w:val="0000" w:firstRow="0" w:lastRow="0" w:firstColumn="0" w:lastColumn="0" w:noHBand="0" w:noVBand="0"/>
      </w:tblPr>
      <w:tblGrid>
        <w:gridCol w:w="2160"/>
        <w:gridCol w:w="7380"/>
      </w:tblGrid>
      <w:tr w:rsidR="00F22CB9" w:rsidRPr="00005390" w14:paraId="27C19C91" w14:textId="77777777" w:rsidTr="00713224">
        <w:tc>
          <w:tcPr>
            <w:tcW w:w="2160" w:type="dxa"/>
          </w:tcPr>
          <w:p w14:paraId="339AC1F7" w14:textId="77777777" w:rsidR="00F22CB9" w:rsidRPr="00005390" w:rsidRDefault="00F22CB9" w:rsidP="00713224">
            <w:pPr>
              <w:autoSpaceDE w:val="0"/>
              <w:autoSpaceDN w:val="0"/>
              <w:adjustRightInd w:val="0"/>
              <w:spacing w:line="200" w:lineRule="atLeast"/>
              <w:rPr>
                <w:rFonts w:ascii="Arial" w:hAnsi="Arial" w:cs="Arial"/>
                <w:b/>
                <w:bCs/>
                <w:sz w:val="16"/>
                <w:szCs w:val="16"/>
              </w:rPr>
            </w:pPr>
            <w:proofErr w:type="gramStart"/>
            <w:r w:rsidRPr="00005390">
              <w:rPr>
                <w:rFonts w:ascii="Arial" w:hAnsi="Arial" w:cs="Arial"/>
                <w:b/>
                <w:bCs/>
                <w:sz w:val="16"/>
                <w:szCs w:val="16"/>
              </w:rPr>
              <w:t>On-sales</w:t>
            </w:r>
            <w:proofErr w:type="gramEnd"/>
            <w:r w:rsidRPr="00005390">
              <w:rPr>
                <w:rFonts w:ascii="Arial" w:hAnsi="Arial" w:cs="Arial"/>
                <w:b/>
                <w:bCs/>
                <w:sz w:val="16"/>
                <w:szCs w:val="16"/>
              </w:rPr>
              <w:t xml:space="preserve"> of Notes:</w:t>
            </w:r>
          </w:p>
        </w:tc>
        <w:tc>
          <w:tcPr>
            <w:tcW w:w="7380" w:type="dxa"/>
          </w:tcPr>
          <w:p w14:paraId="530FFF4A" w14:textId="77777777" w:rsidR="00F22CB9" w:rsidRPr="00005390" w:rsidRDefault="00F22CB9" w:rsidP="00713224">
            <w:pPr>
              <w:autoSpaceDE w:val="0"/>
              <w:autoSpaceDN w:val="0"/>
              <w:adjustRightInd w:val="0"/>
              <w:spacing w:after="80" w:line="240" w:lineRule="atLeast"/>
              <w:rPr>
                <w:rFonts w:ascii="Arial" w:hAnsi="Arial" w:cs="Arial"/>
                <w:sz w:val="16"/>
                <w:szCs w:val="16"/>
              </w:rPr>
            </w:pPr>
            <w:r w:rsidRPr="00005390">
              <w:rPr>
                <w:rFonts w:ascii="Arial" w:hAnsi="Arial" w:cs="Arial"/>
                <w:sz w:val="16"/>
                <w:szCs w:val="16"/>
              </w:rPr>
              <w:t xml:space="preserve">In addition to the specific restrictions in relation to offers in the EEA and United Kingdom, Switzerland and Canada stated above, any on-sales, subsequent offer or buy back of the Notes should only be made in accordance with any applicable law and regulation.  In particular any applicable securities laws or regulations relating to the requirement for a prospectus or other prescribed disclosure or any requirement to conduct suitability or </w:t>
            </w:r>
            <w:proofErr w:type="gramStart"/>
            <w:r w:rsidRPr="00005390">
              <w:rPr>
                <w:rFonts w:ascii="Arial" w:hAnsi="Arial" w:cs="Arial"/>
                <w:sz w:val="16"/>
                <w:szCs w:val="16"/>
              </w:rPr>
              <w:t>appropriateness</w:t>
            </w:r>
            <w:proofErr w:type="gramEnd"/>
            <w:r w:rsidRPr="00005390">
              <w:rPr>
                <w:rFonts w:ascii="Arial" w:hAnsi="Arial" w:cs="Arial"/>
                <w:sz w:val="16"/>
                <w:szCs w:val="16"/>
              </w:rPr>
              <w:t xml:space="preserve"> assessments and any requirement regarding the disclosure of commissions and/or fees and/or </w:t>
            </w:r>
            <w:proofErr w:type="spellStart"/>
            <w:proofErr w:type="gramStart"/>
            <w:r w:rsidRPr="00005390">
              <w:rPr>
                <w:rFonts w:ascii="Arial" w:hAnsi="Arial" w:cs="Arial"/>
                <w:sz w:val="16"/>
                <w:szCs w:val="16"/>
              </w:rPr>
              <w:t>non monetary</w:t>
            </w:r>
            <w:proofErr w:type="spellEnd"/>
            <w:proofErr w:type="gramEnd"/>
            <w:r w:rsidRPr="00005390">
              <w:rPr>
                <w:rFonts w:ascii="Arial" w:hAnsi="Arial" w:cs="Arial"/>
                <w:sz w:val="16"/>
                <w:szCs w:val="16"/>
              </w:rPr>
              <w:t xml:space="preserve"> benefits paid or received should be complied with.</w:t>
            </w:r>
          </w:p>
        </w:tc>
      </w:tr>
      <w:tr w:rsidR="00F22CB9" w:rsidRPr="00005390" w14:paraId="31909D47" w14:textId="77777777" w:rsidTr="00713224">
        <w:tc>
          <w:tcPr>
            <w:tcW w:w="2160" w:type="dxa"/>
          </w:tcPr>
          <w:p w14:paraId="49A0229E" w14:textId="77777777" w:rsidR="00F22CB9" w:rsidRPr="00005390" w:rsidRDefault="00F22CB9" w:rsidP="00713224">
            <w:pPr>
              <w:adjustRightInd w:val="0"/>
              <w:spacing w:line="200" w:lineRule="atLeast"/>
              <w:rPr>
                <w:rFonts w:ascii="Arial" w:hAnsi="Arial" w:cs="Arial"/>
                <w:b/>
                <w:bCs/>
                <w:sz w:val="16"/>
                <w:szCs w:val="16"/>
              </w:rPr>
            </w:pPr>
            <w:r w:rsidRPr="00005390">
              <w:rPr>
                <w:rFonts w:ascii="Arial" w:hAnsi="Arial" w:cs="Arial"/>
                <w:b/>
                <w:bCs/>
                <w:sz w:val="16"/>
                <w:szCs w:val="16"/>
              </w:rPr>
              <w:t>Conflict of Interest Disclosure:</w:t>
            </w:r>
          </w:p>
          <w:p w14:paraId="1F5CED3A" w14:textId="77777777" w:rsidR="00F22CB9" w:rsidRPr="00005390" w:rsidRDefault="00F22CB9" w:rsidP="00713224">
            <w:pPr>
              <w:autoSpaceDE w:val="0"/>
              <w:autoSpaceDN w:val="0"/>
              <w:adjustRightInd w:val="0"/>
              <w:spacing w:line="200" w:lineRule="atLeast"/>
              <w:rPr>
                <w:rFonts w:ascii="Arial" w:hAnsi="Arial" w:cs="Arial"/>
                <w:b/>
                <w:bCs/>
                <w:sz w:val="16"/>
                <w:szCs w:val="16"/>
              </w:rPr>
            </w:pPr>
          </w:p>
        </w:tc>
        <w:tc>
          <w:tcPr>
            <w:tcW w:w="7380" w:type="dxa"/>
          </w:tcPr>
          <w:p w14:paraId="4B059E24" w14:textId="77777777" w:rsidR="00F22CB9" w:rsidRPr="00005390" w:rsidRDefault="00F22CB9" w:rsidP="00713224">
            <w:pPr>
              <w:adjustRightInd w:val="0"/>
              <w:spacing w:after="80" w:line="240" w:lineRule="atLeast"/>
              <w:rPr>
                <w:rFonts w:ascii="Arial" w:hAnsi="Arial" w:cs="Arial"/>
                <w:sz w:val="16"/>
                <w:szCs w:val="16"/>
              </w:rPr>
            </w:pPr>
            <w:r w:rsidRPr="00005390">
              <w:rPr>
                <w:rFonts w:ascii="Arial" w:hAnsi="Arial" w:cs="Arial"/>
                <w:sz w:val="16"/>
                <w:szCs w:val="16"/>
              </w:rPr>
              <w:t xml:space="preserve">RBC Europe Limited ("RBCEL") forms part of a major banking group. It is therefore possible that RBCEL or one of its subsidiaries or affiliates or one of their officers, employees, representatives or agents (together "the Bank Group") or another client of the Bank Group may have interests, relationships and/or arrangements that give rise to conflicts of interest in relation to business that is transacted with you. Members of the Bank Group may perform a variety of roles in connection with the issuance. The Issuer, Dealer or their affiliates may act as the Calculation Agent and may undertake hedging activity which may have an adverse impact on the value of the Notes. The Issuer, Dealer or their affiliates may also from time-to-time provide market prices that are </w:t>
            </w:r>
            <w:proofErr w:type="spellStart"/>
            <w:r w:rsidRPr="00005390">
              <w:rPr>
                <w:rFonts w:ascii="Arial" w:hAnsi="Arial" w:cs="Arial"/>
                <w:sz w:val="16"/>
                <w:szCs w:val="16"/>
              </w:rPr>
              <w:t>utilised</w:t>
            </w:r>
            <w:proofErr w:type="spellEnd"/>
            <w:r w:rsidRPr="00005390">
              <w:rPr>
                <w:rFonts w:ascii="Arial" w:hAnsi="Arial" w:cs="Arial"/>
                <w:sz w:val="16"/>
                <w:szCs w:val="16"/>
              </w:rPr>
              <w:t xml:space="preserve"> in calculating the Reference </w:t>
            </w:r>
            <w:proofErr w:type="gramStart"/>
            <w:r w:rsidRPr="00005390">
              <w:rPr>
                <w:rFonts w:ascii="Arial" w:hAnsi="Arial" w:cs="Arial"/>
                <w:sz w:val="16"/>
                <w:szCs w:val="16"/>
              </w:rPr>
              <w:t>Index,  as</w:t>
            </w:r>
            <w:proofErr w:type="gramEnd"/>
            <w:r w:rsidRPr="00005390">
              <w:rPr>
                <w:rFonts w:ascii="Arial" w:hAnsi="Arial" w:cs="Arial"/>
                <w:sz w:val="16"/>
                <w:szCs w:val="16"/>
              </w:rPr>
              <w:t xml:space="preserve"> such, these determinations may affect the value of the notes </w:t>
            </w:r>
            <w:r w:rsidRPr="00005390">
              <w:rPr>
                <w:rFonts w:ascii="Arial" w:hAnsi="Arial" w:cs="Arial"/>
                <w:sz w:val="16"/>
                <w:szCs w:val="16"/>
              </w:rPr>
              <w:lastRenderedPageBreak/>
              <w:t>being issued. Any conflicts of interest will be managed in accordance with The Bank Group's established policies and procedures.</w:t>
            </w:r>
          </w:p>
        </w:tc>
      </w:tr>
      <w:tr w:rsidR="00F22CB9" w:rsidRPr="00005390" w14:paraId="70211781" w14:textId="77777777" w:rsidTr="00713224">
        <w:tc>
          <w:tcPr>
            <w:tcW w:w="2160" w:type="dxa"/>
            <w:tcBorders>
              <w:top w:val="nil"/>
              <w:left w:val="nil"/>
              <w:bottom w:val="nil"/>
              <w:right w:val="nil"/>
            </w:tcBorders>
          </w:tcPr>
          <w:p w14:paraId="13EE6A3D" w14:textId="77777777" w:rsidR="00F22CB9" w:rsidRPr="00005390" w:rsidRDefault="00F22CB9" w:rsidP="00713224">
            <w:pPr>
              <w:autoSpaceDE w:val="0"/>
              <w:autoSpaceDN w:val="0"/>
              <w:adjustRightInd w:val="0"/>
              <w:spacing w:line="260" w:lineRule="atLeast"/>
              <w:rPr>
                <w:rFonts w:ascii="Arial" w:hAnsi="Arial" w:cs="Arial"/>
                <w:b/>
                <w:bCs/>
                <w:sz w:val="16"/>
                <w:szCs w:val="16"/>
              </w:rPr>
            </w:pPr>
            <w:r w:rsidRPr="00005390">
              <w:rPr>
                <w:rFonts w:ascii="Arial" w:hAnsi="Arial" w:cs="Arial"/>
                <w:b/>
                <w:bCs/>
                <w:sz w:val="16"/>
                <w:szCs w:val="16"/>
              </w:rPr>
              <w:lastRenderedPageBreak/>
              <w:t>Fee Disclosure:</w:t>
            </w:r>
          </w:p>
        </w:tc>
        <w:tc>
          <w:tcPr>
            <w:tcW w:w="7380" w:type="dxa"/>
            <w:tcBorders>
              <w:top w:val="nil"/>
              <w:left w:val="nil"/>
              <w:bottom w:val="nil"/>
              <w:right w:val="nil"/>
            </w:tcBorders>
          </w:tcPr>
          <w:p w14:paraId="3C6E578A" w14:textId="77777777" w:rsidR="00F22CB9" w:rsidRPr="00005390" w:rsidRDefault="00F22CB9" w:rsidP="00713224">
            <w:pPr>
              <w:autoSpaceDE w:val="0"/>
              <w:autoSpaceDN w:val="0"/>
              <w:adjustRightInd w:val="0"/>
              <w:spacing w:line="260" w:lineRule="atLeast"/>
              <w:rPr>
                <w:rFonts w:ascii="Arial" w:hAnsi="Arial" w:cs="Arial"/>
                <w:sz w:val="16"/>
                <w:szCs w:val="16"/>
              </w:rPr>
            </w:pPr>
            <w:r w:rsidRPr="00005390">
              <w:rPr>
                <w:rFonts w:ascii="Arial" w:hAnsi="Arial" w:cs="Arial"/>
                <w:sz w:val="16"/>
                <w:szCs w:val="16"/>
              </w:rPr>
              <w:t xml:space="preserve">The Issue Price may include a fee or commission payable to a distributor or third party, such a fee or commission will be determined by </w:t>
            </w:r>
            <w:proofErr w:type="gramStart"/>
            <w:r w:rsidRPr="00005390">
              <w:rPr>
                <w:rFonts w:ascii="Arial" w:hAnsi="Arial" w:cs="Arial"/>
                <w:sz w:val="16"/>
                <w:szCs w:val="16"/>
              </w:rPr>
              <w:t>a number of</w:t>
            </w:r>
            <w:proofErr w:type="gramEnd"/>
            <w:r w:rsidRPr="00005390">
              <w:rPr>
                <w:rFonts w:ascii="Arial" w:hAnsi="Arial" w:cs="Arial"/>
                <w:sz w:val="16"/>
                <w:szCs w:val="16"/>
              </w:rPr>
              <w:t xml:space="preserve"> factors including but not limited to maturity of the note, hedging costs and legal fees. Further details in respect of the fee or commission are available </w:t>
            </w:r>
            <w:proofErr w:type="gramStart"/>
            <w:r w:rsidRPr="00005390">
              <w:rPr>
                <w:rFonts w:ascii="Arial" w:hAnsi="Arial" w:cs="Arial"/>
                <w:sz w:val="16"/>
                <w:szCs w:val="16"/>
              </w:rPr>
              <w:t>upon</w:t>
            </w:r>
            <w:proofErr w:type="gramEnd"/>
            <w:r w:rsidRPr="00005390">
              <w:rPr>
                <w:rFonts w:ascii="Arial" w:hAnsi="Arial" w:cs="Arial"/>
                <w:sz w:val="16"/>
                <w:szCs w:val="16"/>
              </w:rPr>
              <w:t xml:space="preserve"> request.</w:t>
            </w:r>
          </w:p>
        </w:tc>
      </w:tr>
      <w:tr w:rsidR="00F22CB9" w:rsidRPr="00005390" w14:paraId="2C39BD6B" w14:textId="77777777" w:rsidTr="00713224">
        <w:tc>
          <w:tcPr>
            <w:tcW w:w="2160" w:type="dxa"/>
            <w:tcBorders>
              <w:top w:val="nil"/>
              <w:left w:val="nil"/>
              <w:bottom w:val="nil"/>
              <w:right w:val="nil"/>
            </w:tcBorders>
          </w:tcPr>
          <w:p w14:paraId="408FAFEB" w14:textId="77777777" w:rsidR="00F22CB9" w:rsidRPr="00005390" w:rsidRDefault="00F22CB9" w:rsidP="00713224">
            <w:pPr>
              <w:autoSpaceDE w:val="0"/>
              <w:autoSpaceDN w:val="0"/>
              <w:adjustRightInd w:val="0"/>
              <w:spacing w:line="260" w:lineRule="atLeast"/>
              <w:rPr>
                <w:rFonts w:ascii="Arial" w:hAnsi="Arial" w:cs="Arial"/>
                <w:b/>
                <w:bCs/>
                <w:sz w:val="16"/>
                <w:szCs w:val="16"/>
              </w:rPr>
            </w:pPr>
            <w:r w:rsidRPr="00005390">
              <w:rPr>
                <w:rFonts w:ascii="Arial" w:hAnsi="Arial" w:cs="Arial"/>
                <w:b/>
                <w:bCs/>
                <w:sz w:val="16"/>
                <w:szCs w:val="16"/>
              </w:rPr>
              <w:t>Use of LIBOR:</w:t>
            </w:r>
          </w:p>
          <w:p w14:paraId="635C8E2E" w14:textId="77777777" w:rsidR="00F22CB9" w:rsidRPr="00005390" w:rsidRDefault="00F22CB9" w:rsidP="00713224">
            <w:pPr>
              <w:autoSpaceDE w:val="0"/>
              <w:autoSpaceDN w:val="0"/>
              <w:adjustRightInd w:val="0"/>
              <w:spacing w:line="260" w:lineRule="atLeast"/>
              <w:rPr>
                <w:rFonts w:ascii="Arial" w:hAnsi="Arial" w:cs="Arial"/>
                <w:b/>
                <w:bCs/>
                <w:sz w:val="16"/>
                <w:szCs w:val="16"/>
              </w:rPr>
            </w:pPr>
          </w:p>
        </w:tc>
        <w:tc>
          <w:tcPr>
            <w:tcW w:w="7380" w:type="dxa"/>
            <w:tcBorders>
              <w:top w:val="nil"/>
              <w:left w:val="nil"/>
              <w:bottom w:val="nil"/>
              <w:right w:val="nil"/>
            </w:tcBorders>
          </w:tcPr>
          <w:p w14:paraId="70C7634F" w14:textId="77777777" w:rsidR="00F22CB9" w:rsidRPr="00005390" w:rsidRDefault="00F22CB9" w:rsidP="00713224">
            <w:pPr>
              <w:autoSpaceDE w:val="0"/>
              <w:autoSpaceDN w:val="0"/>
              <w:adjustRightInd w:val="0"/>
              <w:spacing w:line="260" w:lineRule="atLeast"/>
              <w:rPr>
                <w:rFonts w:ascii="Arial" w:hAnsi="Arial" w:cs="Arial"/>
                <w:sz w:val="16"/>
                <w:szCs w:val="16"/>
              </w:rPr>
            </w:pPr>
            <w:r w:rsidRPr="00005390">
              <w:rPr>
                <w:rFonts w:ascii="Arial" w:hAnsi="Arial" w:cs="Arial"/>
                <w:sz w:val="16"/>
                <w:szCs w:val="16"/>
              </w:rPr>
              <w:t>ICE BENCHMARK ADMINISTRATION LIMITED MAKES NO WARRANTY, EXPRESS OR IMPLIED, EITHER AS TO THE RESULTS TO BE OBTAINED FROM THE USE OF ICE LIBOR AND/OR THE FIGURE AT WHICH ICE LIBOR STANDS AT ANY PARTICULAR TIME ON ANY PARTICULAR DAY OR OTHERWISE. ICE BENCHMARK ADMINISTRATION LIMITED MAKES NO EXPRESS OR IMPLIED WARRANTIES OF MERCHANTABILITY OR FITNESS FOR A PARTICULAR PURPOSE IN RESPECT OF ANY USE OF ICE LIBOR.</w:t>
            </w:r>
          </w:p>
        </w:tc>
      </w:tr>
    </w:tbl>
    <w:p w14:paraId="3E24851E" w14:textId="77777777" w:rsidR="00F22CB9" w:rsidRPr="00005390" w:rsidRDefault="00F22CB9" w:rsidP="00F22CB9">
      <w:pPr>
        <w:pBdr>
          <w:bottom w:val="single" w:sz="18" w:space="1" w:color="auto"/>
        </w:pBdr>
        <w:autoSpaceDE w:val="0"/>
        <w:autoSpaceDN w:val="0"/>
        <w:adjustRightInd w:val="0"/>
        <w:spacing w:before="360"/>
        <w:ind w:left="-539"/>
        <w:rPr>
          <w:rFonts w:ascii="Arial" w:hAnsi="Arial" w:cs="Arial"/>
          <w:b/>
          <w:bCs/>
          <w:sz w:val="22"/>
          <w:szCs w:val="22"/>
        </w:rPr>
      </w:pPr>
      <w:r w:rsidRPr="00005390">
        <w:rPr>
          <w:rFonts w:ascii="Arial" w:hAnsi="Arial" w:cs="Arial"/>
          <w:b/>
          <w:bCs/>
        </w:rPr>
        <w:t>RISK INFORMATION</w:t>
      </w:r>
      <w:r w:rsidRPr="00005390">
        <w:rPr>
          <w:rFonts w:ascii="Arial" w:hAnsi="Arial" w:cs="Arial"/>
          <w:b/>
          <w:bCs/>
          <w:sz w:val="22"/>
          <w:szCs w:val="22"/>
        </w:rPr>
        <w:t xml:space="preserve">  </w:t>
      </w:r>
    </w:p>
    <w:tbl>
      <w:tblPr>
        <w:tblW w:w="9540" w:type="dxa"/>
        <w:tblInd w:w="-432" w:type="dxa"/>
        <w:tblLayout w:type="fixed"/>
        <w:tblLook w:val="0000" w:firstRow="0" w:lastRow="0" w:firstColumn="0" w:lastColumn="0" w:noHBand="0" w:noVBand="0"/>
      </w:tblPr>
      <w:tblGrid>
        <w:gridCol w:w="2160"/>
        <w:gridCol w:w="7380"/>
      </w:tblGrid>
      <w:tr w:rsidR="00F22CB9" w:rsidRPr="00005390" w14:paraId="26D09450" w14:textId="77777777" w:rsidTr="00713224">
        <w:tc>
          <w:tcPr>
            <w:tcW w:w="2160" w:type="dxa"/>
          </w:tcPr>
          <w:p w14:paraId="1A13A22C" w14:textId="77777777" w:rsidR="00F22CB9" w:rsidRPr="00005390" w:rsidRDefault="00F22CB9" w:rsidP="00713224">
            <w:pPr>
              <w:autoSpaceDE w:val="0"/>
              <w:autoSpaceDN w:val="0"/>
              <w:adjustRightInd w:val="0"/>
              <w:spacing w:line="200" w:lineRule="atLeast"/>
              <w:rPr>
                <w:rFonts w:ascii="Arial" w:hAnsi="Arial" w:cs="Arial"/>
                <w:b/>
                <w:bCs/>
                <w:sz w:val="16"/>
                <w:szCs w:val="16"/>
              </w:rPr>
            </w:pPr>
            <w:r w:rsidRPr="00005390">
              <w:rPr>
                <w:rFonts w:ascii="Arial" w:hAnsi="Arial" w:cs="Arial"/>
                <w:b/>
                <w:bCs/>
                <w:sz w:val="16"/>
                <w:szCs w:val="16"/>
              </w:rPr>
              <w:t>Issuer Risk:</w:t>
            </w:r>
          </w:p>
        </w:tc>
        <w:tc>
          <w:tcPr>
            <w:tcW w:w="7380" w:type="dxa"/>
          </w:tcPr>
          <w:p w14:paraId="7E413664" w14:textId="77777777" w:rsidR="00F22CB9" w:rsidRPr="00005390" w:rsidRDefault="00F22CB9" w:rsidP="00713224">
            <w:pPr>
              <w:autoSpaceDE w:val="0"/>
              <w:autoSpaceDN w:val="0"/>
              <w:adjustRightInd w:val="0"/>
              <w:spacing w:after="80" w:line="240" w:lineRule="atLeast"/>
              <w:rPr>
                <w:rFonts w:ascii="Arial" w:hAnsi="Arial" w:cs="Arial"/>
                <w:sz w:val="16"/>
                <w:szCs w:val="16"/>
              </w:rPr>
            </w:pPr>
            <w:r w:rsidRPr="00005390">
              <w:rPr>
                <w:rFonts w:ascii="Arial" w:hAnsi="Arial" w:cs="Arial"/>
                <w:sz w:val="16"/>
                <w:szCs w:val="16"/>
              </w:rPr>
              <w:t xml:space="preserve">Investors bear the issuer risk. The investment instrument’s value is dependent not only on the development of the underlying, but also on the creditworthiness of the issuer, which may vary over the term of the structured product.  The ratings of the Issuer noted above reflect the independent opinion of the rating agencies as to the safety of payments of principal and interest.  These ratings </w:t>
            </w:r>
            <w:proofErr w:type="gramStart"/>
            <w:r w:rsidRPr="00005390">
              <w:rPr>
                <w:rFonts w:ascii="Arial" w:hAnsi="Arial" w:cs="Arial"/>
                <w:sz w:val="16"/>
                <w:szCs w:val="16"/>
              </w:rPr>
              <w:t>are</w:t>
            </w:r>
            <w:proofErr w:type="gramEnd"/>
            <w:r w:rsidRPr="00005390">
              <w:rPr>
                <w:rFonts w:ascii="Arial" w:hAnsi="Arial" w:cs="Arial"/>
                <w:sz w:val="16"/>
                <w:szCs w:val="16"/>
              </w:rPr>
              <w:t xml:space="preserve"> not a guarantee of credit quality.  The ratings do not take into consideration any risk associated with fluctuations in the market value of this instrument, or where factors other than the Issuer’s credit quality determine the level of principal and interest payments. </w:t>
            </w:r>
          </w:p>
        </w:tc>
      </w:tr>
      <w:tr w:rsidR="00F22CB9" w:rsidRPr="00005390" w14:paraId="3D547F6D" w14:textId="77777777" w:rsidTr="00713224">
        <w:tc>
          <w:tcPr>
            <w:tcW w:w="2160" w:type="dxa"/>
          </w:tcPr>
          <w:p w14:paraId="2AD68FD0" w14:textId="77777777" w:rsidR="00F22CB9" w:rsidRPr="00005390" w:rsidRDefault="00F22CB9" w:rsidP="00713224">
            <w:pPr>
              <w:autoSpaceDE w:val="0"/>
              <w:autoSpaceDN w:val="0"/>
              <w:adjustRightInd w:val="0"/>
              <w:spacing w:line="200" w:lineRule="atLeast"/>
              <w:rPr>
                <w:rFonts w:ascii="Arial" w:hAnsi="Arial" w:cs="Arial"/>
                <w:b/>
                <w:bCs/>
                <w:sz w:val="16"/>
                <w:szCs w:val="16"/>
              </w:rPr>
            </w:pPr>
            <w:r w:rsidRPr="00005390">
              <w:rPr>
                <w:rFonts w:ascii="Arial" w:hAnsi="Arial" w:cs="Arial"/>
                <w:b/>
                <w:bCs/>
                <w:sz w:val="16"/>
                <w:szCs w:val="16"/>
              </w:rPr>
              <w:t>Liquidity Risk:</w:t>
            </w:r>
          </w:p>
        </w:tc>
        <w:tc>
          <w:tcPr>
            <w:tcW w:w="7380" w:type="dxa"/>
          </w:tcPr>
          <w:p w14:paraId="0457F4BC" w14:textId="77777777" w:rsidR="00F22CB9" w:rsidRPr="00005390" w:rsidRDefault="00F22CB9" w:rsidP="00713224">
            <w:pPr>
              <w:autoSpaceDE w:val="0"/>
              <w:autoSpaceDN w:val="0"/>
              <w:adjustRightInd w:val="0"/>
              <w:spacing w:after="80" w:line="240" w:lineRule="atLeast"/>
              <w:rPr>
                <w:rFonts w:ascii="Arial" w:hAnsi="Arial" w:cs="Arial"/>
                <w:sz w:val="16"/>
                <w:szCs w:val="16"/>
              </w:rPr>
            </w:pPr>
            <w:r w:rsidRPr="00005390">
              <w:rPr>
                <w:rFonts w:ascii="Arial" w:hAnsi="Arial" w:cs="Arial"/>
                <w:sz w:val="16"/>
                <w:szCs w:val="16"/>
              </w:rPr>
              <w:t xml:space="preserve">The investor should be prepared to hold this note until maturity should it not be called or terminated early, if such option exists, by the Issuer.  The Dealer will, however, use its reasonable </w:t>
            </w:r>
            <w:proofErr w:type="spellStart"/>
            <w:r w:rsidRPr="00005390">
              <w:rPr>
                <w:rFonts w:ascii="Arial" w:hAnsi="Arial" w:cs="Arial"/>
                <w:sz w:val="16"/>
                <w:szCs w:val="16"/>
              </w:rPr>
              <w:t>endeavours</w:t>
            </w:r>
            <w:proofErr w:type="spellEnd"/>
            <w:r w:rsidRPr="00005390">
              <w:rPr>
                <w:rFonts w:ascii="Arial" w:hAnsi="Arial" w:cs="Arial"/>
                <w:sz w:val="16"/>
                <w:szCs w:val="16"/>
              </w:rPr>
              <w:t xml:space="preserve"> to provide liquidity to the Note (either directly or through an affiliate) but is not obliged to do so and may stop providing liquidity at any time without notice. The price at which you purchase the Note includes selling commissions paid by the Dealer and hedging costs and profits that the Dealer or its affiliates expect to incur or realize.  These selling commissions, costs and profits will reduce the secondary market price, if any secondary market develops, for the Note.  As a result, you may experience an immediate and substantial decline in the value of your notes on the issue date.</w:t>
            </w:r>
          </w:p>
        </w:tc>
      </w:tr>
      <w:tr w:rsidR="00F22CB9" w:rsidRPr="00005390" w14:paraId="34AE52C8" w14:textId="77777777" w:rsidTr="00713224">
        <w:tc>
          <w:tcPr>
            <w:tcW w:w="2160" w:type="dxa"/>
          </w:tcPr>
          <w:p w14:paraId="6DA95C1A" w14:textId="77777777" w:rsidR="00F22CB9" w:rsidRPr="00005390" w:rsidRDefault="00F22CB9" w:rsidP="00713224">
            <w:pPr>
              <w:autoSpaceDE w:val="0"/>
              <w:autoSpaceDN w:val="0"/>
              <w:adjustRightInd w:val="0"/>
              <w:spacing w:line="200" w:lineRule="atLeast"/>
              <w:rPr>
                <w:rFonts w:ascii="Arial" w:hAnsi="Arial" w:cs="Arial"/>
                <w:b/>
                <w:bCs/>
                <w:sz w:val="16"/>
                <w:szCs w:val="16"/>
              </w:rPr>
            </w:pPr>
            <w:r w:rsidRPr="00005390">
              <w:rPr>
                <w:rFonts w:ascii="Arial" w:hAnsi="Arial" w:cs="Arial"/>
                <w:b/>
                <w:bCs/>
                <w:sz w:val="16"/>
                <w:szCs w:val="16"/>
              </w:rPr>
              <w:t>Suitability:</w:t>
            </w:r>
          </w:p>
        </w:tc>
        <w:tc>
          <w:tcPr>
            <w:tcW w:w="7380" w:type="dxa"/>
          </w:tcPr>
          <w:p w14:paraId="153F33AE" w14:textId="77777777" w:rsidR="00F22CB9" w:rsidRPr="00005390" w:rsidRDefault="00F22CB9" w:rsidP="00713224">
            <w:pPr>
              <w:autoSpaceDE w:val="0"/>
              <w:autoSpaceDN w:val="0"/>
              <w:adjustRightInd w:val="0"/>
              <w:spacing w:after="80" w:line="240" w:lineRule="atLeast"/>
              <w:rPr>
                <w:rFonts w:ascii="Arial" w:hAnsi="Arial" w:cs="Arial"/>
                <w:sz w:val="16"/>
                <w:szCs w:val="16"/>
              </w:rPr>
            </w:pPr>
            <w:r w:rsidRPr="00005390">
              <w:rPr>
                <w:rFonts w:ascii="Arial" w:hAnsi="Arial" w:cs="Arial"/>
                <w:sz w:val="16"/>
                <w:szCs w:val="16"/>
              </w:rPr>
              <w:t xml:space="preserve">This document is being provided to you based on our reasonable belief that you are a sophisticated institutional investor that </w:t>
            </w:r>
            <w:proofErr w:type="gramStart"/>
            <w:r w:rsidRPr="00005390">
              <w:rPr>
                <w:rFonts w:ascii="Arial" w:hAnsi="Arial" w:cs="Arial"/>
                <w:sz w:val="16"/>
                <w:szCs w:val="16"/>
              </w:rPr>
              <w:t>is capable of assessing</w:t>
            </w:r>
            <w:proofErr w:type="gramEnd"/>
            <w:r w:rsidRPr="00005390">
              <w:rPr>
                <w:rFonts w:ascii="Arial" w:hAnsi="Arial" w:cs="Arial"/>
                <w:sz w:val="16"/>
                <w:szCs w:val="16"/>
              </w:rPr>
              <w:t xml:space="preserve"> the merits and risks of the matters discussed herein. Institutions referencing this document or extracting information from this document with which to advise their clients will need to ensure that the information satisfies their local jurisdictional requirements and applicable securities laws for conducting business with private and /or retail clients.</w:t>
            </w:r>
          </w:p>
        </w:tc>
      </w:tr>
    </w:tbl>
    <w:p w14:paraId="1EAAA1D1" w14:textId="69929529" w:rsidR="004C1D0D" w:rsidRPr="00005390" w:rsidRDefault="004C1D0D" w:rsidP="00F22CB9">
      <w:pPr>
        <w:pBdr>
          <w:bottom w:val="single" w:sz="18" w:space="1" w:color="auto"/>
        </w:pBdr>
        <w:autoSpaceDE w:val="0"/>
        <w:autoSpaceDN w:val="0"/>
        <w:adjustRightInd w:val="0"/>
        <w:spacing w:before="360"/>
        <w:ind w:left="-539"/>
        <w:rPr>
          <w:rFonts w:ascii="Arial" w:hAnsi="Arial" w:cs="Arial"/>
          <w:b/>
          <w:bCs/>
        </w:rPr>
      </w:pPr>
    </w:p>
    <w:p w14:paraId="2F4A2594" w14:textId="77777777" w:rsidR="004C1D0D" w:rsidRPr="00005390" w:rsidRDefault="004C1D0D" w:rsidP="004C1D0D">
      <w:r w:rsidRPr="00005390">
        <w:br w:type="page"/>
      </w:r>
    </w:p>
    <w:tbl>
      <w:tblPr>
        <w:tblStyle w:val="TableGrid"/>
        <w:tblW w:w="0" w:type="auto"/>
        <w:tblLook w:val="04A0" w:firstRow="1" w:lastRow="0" w:firstColumn="1" w:lastColumn="0" w:noHBand="0" w:noVBand="1"/>
      </w:tblPr>
      <w:tblGrid>
        <w:gridCol w:w="8990"/>
      </w:tblGrid>
      <w:tr w:rsidR="004C1D0D" w14:paraId="1B8DF405" w14:textId="77777777" w:rsidTr="00D80A83">
        <w:tc>
          <w:tcPr>
            <w:tcW w:w="8990" w:type="dxa"/>
          </w:tcPr>
          <w:p w14:paraId="6718D3E0" w14:textId="77777777" w:rsidR="00971C7D" w:rsidRDefault="00971C7D" w:rsidP="00971C7D">
            <w:pPr>
              <w:pStyle w:val="Default"/>
              <w:spacing w:after="240"/>
              <w:rPr>
                <w:sz w:val="16"/>
                <w:szCs w:val="16"/>
              </w:rPr>
            </w:pPr>
            <w:r>
              <w:rPr>
                <w:sz w:val="16"/>
                <w:szCs w:val="16"/>
              </w:rPr>
              <w:lastRenderedPageBreak/>
              <w:t xml:space="preserve">WARNING: THE CONTENTS OF THIS DOCUMENT HAVE NOT BEEN REVIEWED BY ANY REGULATORY AUTHORITY IN HONG KONG OR ANY OTHER JURISDICTION. YOU ARE ADVISED TO EXERCISE CAUTION IN RELATION TO THE NOTES. IF YOU ARE IN ANY DOUBT ABOUT ANY OF THE CONTENTS OF THIS DOCUMENT, YOU SHOULD OBTAIN INDEPENDENT PROFESSIONAL ADVICE. </w:t>
            </w:r>
          </w:p>
          <w:p w14:paraId="3E851EF4" w14:textId="77777777" w:rsidR="00971C7D" w:rsidRDefault="00971C7D" w:rsidP="00971C7D">
            <w:pPr>
              <w:pStyle w:val="Default"/>
              <w:spacing w:after="240"/>
              <w:rPr>
                <w:sz w:val="16"/>
                <w:szCs w:val="16"/>
              </w:rPr>
            </w:pPr>
            <w:r>
              <w:rPr>
                <w:sz w:val="16"/>
                <w:szCs w:val="16"/>
              </w:rPr>
              <w:t>This is a structured product which involves derivatives. Do not invest in it unless you fully understand and are willing to assume the risk associated with it. If you are in any doubt about the risks involved in the product, you should clarify with the intermediary or seek independent professional advice.</w:t>
            </w:r>
          </w:p>
          <w:p w14:paraId="140143AB" w14:textId="77777777" w:rsidR="00971C7D" w:rsidRDefault="00971C7D" w:rsidP="00971C7D">
            <w:pPr>
              <w:pStyle w:val="Default"/>
              <w:spacing w:after="240"/>
              <w:rPr>
                <w:sz w:val="16"/>
                <w:szCs w:val="16"/>
              </w:rPr>
            </w:pPr>
            <w:r>
              <w:rPr>
                <w:sz w:val="16"/>
                <w:szCs w:val="16"/>
              </w:rPr>
              <w:t>The Notes are not equivalent to time deposits and are not protected under the Deposit Protection Scheme in Hong Kong.</w:t>
            </w:r>
          </w:p>
          <w:p w14:paraId="57E34A36" w14:textId="61328147" w:rsidR="004C1D0D" w:rsidRPr="00005390" w:rsidRDefault="004C1D0D" w:rsidP="00D80A83">
            <w:pPr>
              <w:jc w:val="both"/>
              <w:rPr>
                <w:rFonts w:ascii="Arial" w:hAnsi="Arial" w:cs="Arial"/>
                <w:bCs/>
                <w:sz w:val="16"/>
                <w:szCs w:val="16"/>
              </w:rPr>
            </w:pPr>
            <w:r w:rsidRPr="00005390">
              <w:rPr>
                <w:rFonts w:ascii="Arial" w:hAnsi="Arial" w:cs="Arial"/>
                <w:bCs/>
                <w:sz w:val="16"/>
                <w:szCs w:val="16"/>
              </w:rPr>
              <w:t xml:space="preserve">This document has been prepared by RBC Capital Markets ("RBCCM") for discussion and/or information purposes only and does not constitute either an offer or the solicitation of an offer to </w:t>
            </w:r>
            <w:proofErr w:type="gramStart"/>
            <w:r w:rsidRPr="00005390">
              <w:rPr>
                <w:rFonts w:ascii="Arial" w:hAnsi="Arial" w:cs="Arial"/>
                <w:bCs/>
                <w:sz w:val="16"/>
                <w:szCs w:val="16"/>
              </w:rPr>
              <w:t>enter into</w:t>
            </w:r>
            <w:proofErr w:type="gramEnd"/>
            <w:r w:rsidRPr="00005390">
              <w:rPr>
                <w:rFonts w:ascii="Arial" w:hAnsi="Arial" w:cs="Arial"/>
                <w:bCs/>
                <w:sz w:val="16"/>
                <w:szCs w:val="16"/>
              </w:rPr>
              <w:t xml:space="preserve"> securities or any other transaction. This document is an indicative summary of the terms and conditions of the transaction described herein. It is not intended to set forth a final expression </w:t>
            </w:r>
            <w:proofErr w:type="gramStart"/>
            <w:r w:rsidRPr="00005390">
              <w:rPr>
                <w:rFonts w:ascii="Arial" w:hAnsi="Arial" w:cs="Arial"/>
                <w:bCs/>
                <w:sz w:val="16"/>
                <w:szCs w:val="16"/>
              </w:rPr>
              <w:t>of  the</w:t>
            </w:r>
            <w:proofErr w:type="gramEnd"/>
            <w:r w:rsidRPr="00005390">
              <w:rPr>
                <w:rFonts w:ascii="Arial" w:hAnsi="Arial" w:cs="Arial"/>
                <w:bCs/>
                <w:sz w:val="16"/>
                <w:szCs w:val="16"/>
              </w:rPr>
              <w:t xml:space="preserve"> terms and conditions of any transaction and it may be amended, superseded or replaced in its entirety by subsequent summaries and should not be relied on. Should a transaction ultimately be entered into between us, the final terms and conditions of the transaction will be set out in full in a binding transaction document and reference should be made only to such document and not this indicative </w:t>
            </w:r>
            <w:proofErr w:type="spellStart"/>
            <w:r w:rsidRPr="00005390">
              <w:rPr>
                <w:rFonts w:ascii="Arial" w:hAnsi="Arial" w:cs="Arial"/>
                <w:bCs/>
                <w:sz w:val="16"/>
                <w:szCs w:val="16"/>
              </w:rPr>
              <w:t>termsheet</w:t>
            </w:r>
            <w:proofErr w:type="spellEnd"/>
            <w:r w:rsidRPr="00005390">
              <w:rPr>
                <w:rFonts w:ascii="Arial" w:hAnsi="Arial" w:cs="Arial"/>
                <w:bCs/>
                <w:sz w:val="16"/>
                <w:szCs w:val="16"/>
              </w:rPr>
              <w:t xml:space="preserve"> for definitive information.  This document shall not constitute an underwriting commitment, an offer to sell, or the solicitation of an offer to buy any securities, commodities or other instruments, or a recommendation to </w:t>
            </w:r>
            <w:proofErr w:type="gramStart"/>
            <w:r w:rsidRPr="00005390">
              <w:rPr>
                <w:rFonts w:ascii="Arial" w:hAnsi="Arial" w:cs="Arial"/>
                <w:bCs/>
                <w:sz w:val="16"/>
                <w:szCs w:val="16"/>
              </w:rPr>
              <w:t>enter into</w:t>
            </w:r>
            <w:proofErr w:type="gramEnd"/>
            <w:r w:rsidRPr="00005390">
              <w:rPr>
                <w:rFonts w:ascii="Arial" w:hAnsi="Arial" w:cs="Arial"/>
                <w:bCs/>
                <w:sz w:val="16"/>
                <w:szCs w:val="16"/>
              </w:rPr>
              <w:t xml:space="preserve"> any transaction by any RBC entity.  Nor is it an official or unofficial confirmation of terms. Although the indicative information set forth herein is reflective of terms, as of the date of this communication, under which we believe an issuance of securities or other transactions might be structured, no assurance can be given that such an issuance or transaction could in fact be executed, nor is any entity obligated to issue such securities or obligations or enter into any transaction. To the extent that you subsequently </w:t>
            </w:r>
            <w:proofErr w:type="gramStart"/>
            <w:r w:rsidRPr="00005390">
              <w:rPr>
                <w:rFonts w:ascii="Arial" w:hAnsi="Arial" w:cs="Arial"/>
                <w:bCs/>
                <w:sz w:val="16"/>
                <w:szCs w:val="16"/>
              </w:rPr>
              <w:t>enter into</w:t>
            </w:r>
            <w:proofErr w:type="gramEnd"/>
            <w:r w:rsidRPr="00005390">
              <w:rPr>
                <w:rFonts w:ascii="Arial" w:hAnsi="Arial" w:cs="Arial"/>
                <w:bCs/>
                <w:sz w:val="16"/>
                <w:szCs w:val="16"/>
              </w:rPr>
              <w:t xml:space="preserve"> a transaction with RBC and/or any of its affiliates this would be on the basis that you were transacting with us as principal (and not as agent or in any other capacity, fiduciary or otherwise) and no other person would have an interest </w:t>
            </w:r>
            <w:proofErr w:type="gramStart"/>
            <w:r w:rsidRPr="00005390">
              <w:rPr>
                <w:rFonts w:ascii="Arial" w:hAnsi="Arial" w:cs="Arial"/>
                <w:bCs/>
                <w:sz w:val="16"/>
                <w:szCs w:val="16"/>
              </w:rPr>
              <w:t>herein</w:t>
            </w:r>
            <w:proofErr w:type="gramEnd"/>
            <w:r w:rsidRPr="00005390">
              <w:rPr>
                <w:rFonts w:ascii="Arial" w:hAnsi="Arial" w:cs="Arial"/>
                <w:bCs/>
                <w:sz w:val="16"/>
                <w:szCs w:val="16"/>
              </w:rPr>
              <w:t xml:space="preserve">. </w:t>
            </w:r>
          </w:p>
          <w:p w14:paraId="45A2DD76" w14:textId="77777777" w:rsidR="004C1D0D" w:rsidRPr="00005390" w:rsidRDefault="004C1D0D" w:rsidP="00D80A83">
            <w:pPr>
              <w:jc w:val="both"/>
              <w:rPr>
                <w:rFonts w:ascii="Arial" w:hAnsi="Arial" w:cs="Arial"/>
                <w:bCs/>
                <w:sz w:val="16"/>
                <w:szCs w:val="16"/>
              </w:rPr>
            </w:pPr>
            <w:r w:rsidRPr="00005390">
              <w:rPr>
                <w:rFonts w:ascii="Arial" w:hAnsi="Arial" w:cs="Arial"/>
                <w:bCs/>
                <w:sz w:val="16"/>
                <w:szCs w:val="16"/>
              </w:rPr>
              <w:t xml:space="preserve">All information, terms and pricing set forth herein is indicative and subject to change without notice. Any </w:t>
            </w:r>
            <w:proofErr w:type="gramStart"/>
            <w:r w:rsidRPr="00005390">
              <w:rPr>
                <w:rFonts w:ascii="Arial" w:hAnsi="Arial" w:cs="Arial"/>
                <w:bCs/>
                <w:sz w:val="16"/>
                <w:szCs w:val="16"/>
              </w:rPr>
              <w:t>opinions</w:t>
            </w:r>
            <w:proofErr w:type="gramEnd"/>
            <w:r w:rsidRPr="00005390">
              <w:rPr>
                <w:rFonts w:ascii="Arial" w:hAnsi="Arial" w:cs="Arial"/>
                <w:bCs/>
                <w:sz w:val="16"/>
                <w:szCs w:val="16"/>
              </w:rPr>
              <w:t xml:space="preserve"> expressed herein reflect our judgement at the date and time hereof and are subject to change without notice. The information contained in this document has been internally developed or taken from trade and statistical services and other sources which we deem reliable, but no warranty is made that such information is accurate or complete and it should not be relied upon as such. </w:t>
            </w:r>
          </w:p>
          <w:p w14:paraId="1416BFF4" w14:textId="77777777" w:rsidR="004C1D0D" w:rsidRPr="00005390" w:rsidRDefault="004C1D0D" w:rsidP="00D80A83">
            <w:pPr>
              <w:jc w:val="both"/>
              <w:rPr>
                <w:rFonts w:ascii="Arial" w:hAnsi="Arial" w:cs="Arial"/>
                <w:bCs/>
                <w:sz w:val="16"/>
                <w:szCs w:val="16"/>
              </w:rPr>
            </w:pPr>
            <w:r w:rsidRPr="00005390">
              <w:rPr>
                <w:rFonts w:ascii="Arial" w:hAnsi="Arial" w:cs="Arial"/>
                <w:bCs/>
                <w:sz w:val="16"/>
                <w:szCs w:val="16"/>
              </w:rPr>
              <w:t xml:space="preserve">Transactions of the type described herein may involve a high degree of risk and the value of such investments may be highly volatile. Such risks may include without limitation risk of adverse or unanticipated market developments, risk of issuers default and risk of liquidity.  In certain transactions counterparties may lose their entire investment or incur an unlimited loss. </w:t>
            </w:r>
          </w:p>
          <w:p w14:paraId="47CE9D13" w14:textId="77777777" w:rsidR="004C1D0D" w:rsidRPr="00005390" w:rsidRDefault="004C1D0D" w:rsidP="00D80A83">
            <w:pPr>
              <w:jc w:val="both"/>
              <w:rPr>
                <w:rFonts w:ascii="Arial" w:hAnsi="Arial" w:cs="Arial"/>
                <w:bCs/>
                <w:sz w:val="16"/>
                <w:szCs w:val="16"/>
              </w:rPr>
            </w:pPr>
            <w:r w:rsidRPr="00005390">
              <w:rPr>
                <w:rFonts w:ascii="Arial" w:hAnsi="Arial" w:cs="Arial"/>
                <w:bCs/>
                <w:sz w:val="16"/>
                <w:szCs w:val="16"/>
              </w:rPr>
              <w:t xml:space="preserve">This brief statement does not purport to identify or suggest all the risks (directly or indirectly) and other significant aspects in connection with transactions of the type described herein, and counterparties should ensure that they fully understand the terms of the transaction, including the relevant risk factors and any legal, tax, regulatory or accounting considerations applicable to them, prior to transacting.  No representation is made concerning the legal, tax, regulatory or accounting implications in any applicable jurisdiction and we are not advising you in respect of such matters. </w:t>
            </w:r>
            <w:proofErr w:type="gramStart"/>
            <w:r w:rsidRPr="00005390">
              <w:rPr>
                <w:rFonts w:ascii="Arial" w:hAnsi="Arial" w:cs="Arial"/>
                <w:bCs/>
                <w:sz w:val="16"/>
                <w:szCs w:val="16"/>
              </w:rPr>
              <w:t>Accordingly</w:t>
            </w:r>
            <w:proofErr w:type="gramEnd"/>
            <w:r w:rsidRPr="00005390">
              <w:rPr>
                <w:rFonts w:ascii="Arial" w:hAnsi="Arial" w:cs="Arial"/>
                <w:bCs/>
                <w:sz w:val="16"/>
                <w:szCs w:val="16"/>
              </w:rPr>
              <w:t xml:space="preserve"> you must independently determine, with your own advisors, the appropriateness for you of the transaction before transacting. To the fullest extent permissible by law, RBCCM accepts no liability for any loss (including consequential losses) arising from the use of this document or reliance on the information contained herein. RBCCM is acting solely in the capacity of an arm's length contractual counterparty and not in the capacity of your financial adviser or fiduciary. </w:t>
            </w:r>
          </w:p>
          <w:p w14:paraId="5C6CCCE6" w14:textId="77777777" w:rsidR="004C1D0D" w:rsidRPr="00005390" w:rsidRDefault="004C1D0D" w:rsidP="00D80A83">
            <w:pPr>
              <w:jc w:val="both"/>
              <w:rPr>
                <w:rFonts w:ascii="Arial" w:hAnsi="Arial" w:cs="Arial"/>
                <w:bCs/>
                <w:sz w:val="16"/>
                <w:szCs w:val="16"/>
              </w:rPr>
            </w:pPr>
            <w:r w:rsidRPr="00005390">
              <w:rPr>
                <w:rFonts w:ascii="Arial" w:hAnsi="Arial" w:cs="Arial"/>
                <w:bCs/>
                <w:sz w:val="16"/>
                <w:szCs w:val="16"/>
              </w:rPr>
              <w:t xml:space="preserve">RBC Capital Markets is a business name used by certain branches, subsidiaries and business units of Royal Bank of Canada including RBC Europe Limited, Royal Bank of Canada, London Branch, RBC Dominion Securities Inc., RBC Capital Markets, LLC, Royal Bank of Canada - Hong Kong Branch and Royal Bank of Canada - Sydney Branch.   RBC Europe Limited is </w:t>
            </w:r>
            <w:proofErr w:type="spellStart"/>
            <w:r w:rsidRPr="00005390">
              <w:rPr>
                <w:rFonts w:ascii="Arial" w:hAnsi="Arial" w:cs="Arial"/>
                <w:bCs/>
                <w:sz w:val="16"/>
                <w:szCs w:val="16"/>
              </w:rPr>
              <w:t>authorised</w:t>
            </w:r>
            <w:proofErr w:type="spellEnd"/>
            <w:r w:rsidRPr="00005390">
              <w:rPr>
                <w:rFonts w:ascii="Arial" w:hAnsi="Arial" w:cs="Arial"/>
                <w:bCs/>
                <w:sz w:val="16"/>
                <w:szCs w:val="16"/>
              </w:rPr>
              <w:t xml:space="preserve"> in the UK by the Prudential Regulation Authority and regulated by the Financial Conduct Authority and the Prudential Regulation Authority and Royal Bank of Canada, London Branch is </w:t>
            </w:r>
            <w:proofErr w:type="spellStart"/>
            <w:r w:rsidRPr="00005390">
              <w:rPr>
                <w:rFonts w:ascii="Arial" w:hAnsi="Arial" w:cs="Arial"/>
                <w:bCs/>
                <w:sz w:val="16"/>
                <w:szCs w:val="16"/>
              </w:rPr>
              <w:t>authorised</w:t>
            </w:r>
            <w:proofErr w:type="spellEnd"/>
            <w:r w:rsidRPr="00005390">
              <w:rPr>
                <w:rFonts w:ascii="Arial" w:hAnsi="Arial" w:cs="Arial"/>
                <w:bCs/>
                <w:sz w:val="16"/>
                <w:szCs w:val="16"/>
              </w:rPr>
              <w:t xml:space="preserve"> and regulated by the Office of the Superintendent of Financial Institutions of Canada and by the Prudential Regulation Authority. This document is approved for issue in the UK by RBC Europe Limited which is </w:t>
            </w:r>
            <w:proofErr w:type="gramStart"/>
            <w:r w:rsidRPr="00005390">
              <w:rPr>
                <w:rFonts w:ascii="Arial" w:hAnsi="Arial" w:cs="Arial"/>
                <w:bCs/>
                <w:sz w:val="16"/>
                <w:szCs w:val="16"/>
              </w:rPr>
              <w:t xml:space="preserve">an </w:t>
            </w:r>
            <w:proofErr w:type="spellStart"/>
            <w:r w:rsidRPr="00005390">
              <w:rPr>
                <w:rFonts w:ascii="Arial" w:hAnsi="Arial" w:cs="Arial"/>
                <w:bCs/>
                <w:sz w:val="16"/>
                <w:szCs w:val="16"/>
              </w:rPr>
              <w:t>authorised</w:t>
            </w:r>
            <w:proofErr w:type="spellEnd"/>
            <w:proofErr w:type="gramEnd"/>
            <w:r w:rsidRPr="00005390">
              <w:rPr>
                <w:rFonts w:ascii="Arial" w:hAnsi="Arial" w:cs="Arial"/>
                <w:bCs/>
                <w:sz w:val="16"/>
                <w:szCs w:val="16"/>
              </w:rPr>
              <w:t xml:space="preserve"> and regulated by the Financial Conduct Authority.  </w:t>
            </w:r>
          </w:p>
          <w:p w14:paraId="54FD7C14" w14:textId="5F7AD91D" w:rsidR="004C1D0D" w:rsidRPr="004E5937" w:rsidRDefault="004C1D0D" w:rsidP="00D80A83">
            <w:pPr>
              <w:jc w:val="both"/>
              <w:rPr>
                <w:rFonts w:ascii="Arial" w:hAnsi="Arial" w:cs="Arial"/>
                <w:bCs/>
                <w:sz w:val="16"/>
                <w:szCs w:val="16"/>
              </w:rPr>
            </w:pPr>
            <w:r w:rsidRPr="00005390">
              <w:rPr>
                <w:rFonts w:ascii="Arial" w:hAnsi="Arial" w:cs="Arial"/>
                <w:bCs/>
                <w:sz w:val="16"/>
                <w:szCs w:val="16"/>
              </w:rPr>
              <w:lastRenderedPageBreak/>
              <w:t>This document is confidential, and no part of it may be reproduced, distributed or transmitted without the prior written permission of RBCCM. ©Copyright 202</w:t>
            </w:r>
            <w:r w:rsidR="00B0237E">
              <w:rPr>
                <w:rFonts w:ascii="Arial" w:hAnsi="Arial" w:cs="Arial"/>
                <w:bCs/>
                <w:sz w:val="16"/>
                <w:szCs w:val="16"/>
              </w:rPr>
              <w:t>6</w:t>
            </w:r>
            <w:r w:rsidR="00E70D5F">
              <w:rPr>
                <w:rFonts w:ascii="Arial" w:hAnsi="Arial" w:cs="Arial"/>
                <w:bCs/>
                <w:sz w:val="16"/>
                <w:szCs w:val="16"/>
              </w:rPr>
              <w:t xml:space="preserve"> </w:t>
            </w:r>
            <w:r w:rsidRPr="00005390">
              <w:rPr>
                <w:rFonts w:ascii="Arial" w:hAnsi="Arial" w:cs="Arial"/>
                <w:bCs/>
                <w:sz w:val="16"/>
                <w:szCs w:val="16"/>
              </w:rPr>
              <w:t>(all rights reserved).</w:t>
            </w:r>
          </w:p>
        </w:tc>
      </w:tr>
    </w:tbl>
    <w:p w14:paraId="626576FC" w14:textId="75DCB64A" w:rsidR="00F22CB9" w:rsidRPr="004E5937" w:rsidRDefault="00F22CB9" w:rsidP="004C1D0D"/>
    <w:sectPr w:rsidR="00F22CB9" w:rsidRPr="004E5937" w:rsidSect="00566278">
      <w:headerReference w:type="default" r:id="rId8"/>
      <w:footerReference w:type="default" r:id="rId9"/>
      <w:pgSz w:w="11906" w:h="16838"/>
      <w:pgMar w:top="1440" w:right="1106" w:bottom="90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4898" w14:textId="77777777" w:rsidR="00D547F1" w:rsidRDefault="00D547F1">
      <w:r>
        <w:separator/>
      </w:r>
    </w:p>
  </w:endnote>
  <w:endnote w:type="continuationSeparator" w:id="0">
    <w:p w14:paraId="4B348827" w14:textId="77777777" w:rsidR="00D547F1" w:rsidRDefault="00D5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59" w:type="dxa"/>
      <w:tblLook w:val="0000" w:firstRow="0" w:lastRow="0" w:firstColumn="0" w:lastColumn="0" w:noHBand="0" w:noVBand="0"/>
    </w:tblPr>
    <w:tblGrid>
      <w:gridCol w:w="5807"/>
      <w:gridCol w:w="3652"/>
    </w:tblGrid>
    <w:tr w:rsidR="002A4CDA" w14:paraId="0B4B9AFD" w14:textId="77777777" w:rsidTr="00A8566D">
      <w:trPr>
        <w:trHeight w:val="118"/>
      </w:trPr>
      <w:tc>
        <w:tcPr>
          <w:tcW w:w="5920" w:type="dxa"/>
        </w:tcPr>
        <w:p w14:paraId="2E57D772" w14:textId="77777777" w:rsidR="00A7095A" w:rsidRDefault="00A7095A" w:rsidP="00A11A5F">
          <w:pPr>
            <w:pStyle w:val="Footer"/>
            <w:spacing w:line="0" w:lineRule="atLeast"/>
            <w:rPr>
              <w:sz w:val="10"/>
            </w:rPr>
          </w:pPr>
        </w:p>
      </w:tc>
      <w:tc>
        <w:tcPr>
          <w:tcW w:w="3719" w:type="dxa"/>
        </w:tcPr>
        <w:p w14:paraId="7AF104A1" w14:textId="77777777" w:rsidR="00A7095A" w:rsidRDefault="00A7095A" w:rsidP="00BF57BA">
          <w:pPr>
            <w:pStyle w:val="Footer"/>
            <w:spacing w:line="0" w:lineRule="atLeast"/>
            <w:jc w:val="right"/>
            <w:rPr>
              <w:sz w:val="10"/>
            </w:rPr>
          </w:pPr>
          <w:r>
            <w:rPr>
              <w:rStyle w:val="PageNumber"/>
              <w:sz w:val="10"/>
            </w:rPr>
            <w:fldChar w:fldCharType="begin"/>
          </w:r>
          <w:r>
            <w:rPr>
              <w:rStyle w:val="PageNumber"/>
              <w:sz w:val="10"/>
            </w:rPr>
            <w:instrText xml:space="preserve"> PAGE </w:instrText>
          </w:r>
          <w:r>
            <w:rPr>
              <w:rStyle w:val="PageNumber"/>
              <w:sz w:val="10"/>
            </w:rPr>
            <w:fldChar w:fldCharType="separate"/>
          </w:r>
          <w:r w:rsidR="00184A41">
            <w:rPr>
              <w:rStyle w:val="PageNumber"/>
              <w:noProof/>
              <w:sz w:val="10"/>
            </w:rPr>
            <w:t>3</w:t>
          </w:r>
          <w:r>
            <w:rPr>
              <w:rStyle w:val="PageNumber"/>
              <w:sz w:val="10"/>
            </w:rPr>
            <w:fldChar w:fldCharType="end"/>
          </w:r>
        </w:p>
      </w:tc>
    </w:tr>
    <w:tr w:rsidR="002A4CDA" w14:paraId="78052621" w14:textId="77777777" w:rsidTr="00A8566D">
      <w:trPr>
        <w:trHeight w:val="118"/>
      </w:trPr>
      <w:tc>
        <w:tcPr>
          <w:tcW w:w="5920" w:type="dxa"/>
          <w:tcBorders>
            <w:bottom w:val="nil"/>
          </w:tcBorders>
        </w:tcPr>
        <w:p w14:paraId="6E85912F" w14:textId="77777777" w:rsidR="00A7095A" w:rsidRDefault="00A7095A" w:rsidP="00BF57BA">
          <w:pPr>
            <w:pStyle w:val="Footer"/>
            <w:spacing w:before="100" w:line="0" w:lineRule="atLeast"/>
            <w:rPr>
              <w:sz w:val="10"/>
            </w:rPr>
          </w:pPr>
          <w:r>
            <w:rPr>
              <w:sz w:val="8"/>
              <w:lang w:val="en-GB"/>
            </w:rPr>
            <w:t>Registered in England and Wales: 995939</w:t>
          </w:r>
          <w:r>
            <w:rPr>
              <w:sz w:val="8"/>
              <w:lang w:val="en-GB"/>
            </w:rPr>
            <w:br/>
          </w:r>
          <w:r w:rsidR="00702ED6">
            <w:rPr>
              <w:sz w:val="8"/>
              <w:lang w:val="en-GB"/>
            </w:rPr>
            <w:t xml:space="preserve">Registered Address: </w:t>
          </w:r>
          <w:r w:rsidR="00702ED6" w:rsidRPr="00A1699F">
            <w:rPr>
              <w:sz w:val="8"/>
              <w:lang w:val="en-GB"/>
            </w:rPr>
            <w:t>100 Bishopsgate London, EC2N 4AA</w:t>
          </w:r>
        </w:p>
      </w:tc>
      <w:tc>
        <w:tcPr>
          <w:tcW w:w="3719" w:type="dxa"/>
          <w:tcBorders>
            <w:bottom w:val="nil"/>
          </w:tcBorders>
        </w:tcPr>
        <w:p w14:paraId="151F9789" w14:textId="77777777" w:rsidR="00A7095A" w:rsidRDefault="00702ED6" w:rsidP="00A8566D">
          <w:pPr>
            <w:pStyle w:val="Footer"/>
            <w:spacing w:before="100" w:line="0" w:lineRule="atLeast"/>
            <w:jc w:val="right"/>
            <w:rPr>
              <w:sz w:val="10"/>
            </w:rPr>
          </w:pPr>
          <w:r w:rsidRPr="00A1699F">
            <w:rPr>
              <w:sz w:val="8"/>
              <w:lang w:val="en-GB"/>
            </w:rPr>
            <w:t>Authorised by the Prudential Regulatory Authority ("PRA") and regulated by the Financial Conduct Authority ("FCA") and the PRA</w:t>
          </w:r>
        </w:p>
      </w:tc>
    </w:tr>
  </w:tbl>
  <w:p w14:paraId="7894A523" w14:textId="77777777" w:rsidR="00A7095A" w:rsidRDefault="00A7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2256" w14:textId="77777777" w:rsidR="00D547F1" w:rsidRDefault="00D547F1">
      <w:r>
        <w:separator/>
      </w:r>
    </w:p>
  </w:footnote>
  <w:footnote w:type="continuationSeparator" w:id="0">
    <w:p w14:paraId="1BB6AE71" w14:textId="77777777" w:rsidR="00D547F1" w:rsidRDefault="00D54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7" w:type="dxa"/>
      <w:tblInd w:w="-567" w:type="dxa"/>
      <w:tblBorders>
        <w:bottom w:val="single" w:sz="8" w:space="0" w:color="A29989"/>
      </w:tblBorders>
      <w:tblLayout w:type="fixed"/>
      <w:tblCellMar>
        <w:left w:w="0" w:type="dxa"/>
        <w:right w:w="0" w:type="dxa"/>
      </w:tblCellMar>
      <w:tblLook w:val="0000" w:firstRow="0" w:lastRow="0" w:firstColumn="0" w:lastColumn="0" w:noHBand="0" w:noVBand="0"/>
    </w:tblPr>
    <w:tblGrid>
      <w:gridCol w:w="5026"/>
      <w:gridCol w:w="4541"/>
    </w:tblGrid>
    <w:tr w:rsidR="002A4CDA" w14:paraId="69012270" w14:textId="77777777" w:rsidTr="00244833">
      <w:trPr>
        <w:cantSplit/>
        <w:trHeight w:val="1286"/>
      </w:trPr>
      <w:tc>
        <w:tcPr>
          <w:tcW w:w="5026" w:type="dxa"/>
        </w:tcPr>
        <w:p w14:paraId="05381F93" w14:textId="1E0E05BC" w:rsidR="00A7095A" w:rsidRPr="00651E13" w:rsidRDefault="00601893" w:rsidP="00057552">
          <w:pPr>
            <w:tabs>
              <w:tab w:val="center" w:pos="4153"/>
              <w:tab w:val="right" w:pos="8306"/>
              <w:tab w:val="right" w:pos="9214"/>
            </w:tabs>
            <w:spacing w:before="20" w:line="160" w:lineRule="atLeast"/>
            <w:rPr>
              <w:sz w:val="12"/>
              <w:lang w:val="en-GB"/>
            </w:rPr>
          </w:pPr>
          <w:r>
            <w:rPr>
              <w:noProof/>
              <w:lang w:eastAsia="zh-CN"/>
            </w:rPr>
            <w:drawing>
              <wp:inline distT="0" distB="0" distL="0" distR="0" wp14:anchorId="7F88B70E" wp14:editId="7B87A691">
                <wp:extent cx="15049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09600"/>
                        </a:xfrm>
                        <a:prstGeom prst="rect">
                          <a:avLst/>
                        </a:prstGeom>
                        <a:noFill/>
                        <a:ln>
                          <a:noFill/>
                        </a:ln>
                      </pic:spPr>
                    </pic:pic>
                  </a:graphicData>
                </a:graphic>
              </wp:inline>
            </w:drawing>
          </w:r>
        </w:p>
      </w:tc>
      <w:tc>
        <w:tcPr>
          <w:tcW w:w="4541" w:type="dxa"/>
        </w:tcPr>
        <w:p w14:paraId="551FFEA0" w14:textId="77777777" w:rsidR="00702ED6" w:rsidRDefault="00702ED6" w:rsidP="002F79ED">
          <w:pPr>
            <w:tabs>
              <w:tab w:val="left" w:pos="1134"/>
              <w:tab w:val="right" w:pos="3738"/>
            </w:tabs>
            <w:spacing w:before="160" w:line="180" w:lineRule="atLeast"/>
            <w:jc w:val="right"/>
            <w:rPr>
              <w:rFonts w:ascii="Arial" w:hAnsi="Arial" w:cs="Arial"/>
              <w:sz w:val="14"/>
              <w:lang w:val="en-GB"/>
            </w:rPr>
          </w:pPr>
          <w:r>
            <w:rPr>
              <w:rFonts w:ascii="Arial" w:hAnsi="Arial" w:cs="Arial"/>
              <w:b/>
              <w:bCs/>
              <w:sz w:val="14"/>
              <w:lang w:val="en-GB"/>
            </w:rPr>
            <w:t>RBC London Branch</w:t>
          </w:r>
          <w:r>
            <w:rPr>
              <w:rFonts w:ascii="Arial" w:hAnsi="Arial" w:cs="Arial"/>
              <w:b/>
              <w:bCs/>
              <w:sz w:val="14"/>
              <w:lang w:val="en-GB"/>
            </w:rPr>
            <w:br/>
          </w:r>
          <w:r>
            <w:rPr>
              <w:rFonts w:ascii="Arial" w:hAnsi="Arial" w:cs="Arial"/>
              <w:sz w:val="14"/>
              <w:lang w:val="en-GB"/>
            </w:rPr>
            <w:t>100 Bishopsgate</w:t>
          </w:r>
          <w:r>
            <w:rPr>
              <w:rFonts w:ascii="Arial" w:hAnsi="Arial" w:cs="Arial"/>
              <w:sz w:val="14"/>
              <w:lang w:val="en-GB"/>
            </w:rPr>
            <w:br/>
            <w:t>London, EC2N 4AA</w:t>
          </w:r>
          <w:r w:rsidRPr="00B94AF9">
            <w:rPr>
              <w:rFonts w:ascii="Arial" w:hAnsi="Arial" w:cs="Arial"/>
              <w:sz w:val="14"/>
              <w:lang w:val="en-GB"/>
            </w:rPr>
            <w:t xml:space="preserve"> </w:t>
          </w:r>
        </w:p>
        <w:p w14:paraId="4778311E" w14:textId="77777777" w:rsidR="00A7095A" w:rsidRPr="00B94AF9" w:rsidRDefault="00A7095A" w:rsidP="002F79ED">
          <w:pPr>
            <w:tabs>
              <w:tab w:val="left" w:pos="1134"/>
              <w:tab w:val="right" w:pos="3738"/>
            </w:tabs>
            <w:spacing w:before="160" w:line="180" w:lineRule="atLeast"/>
            <w:jc w:val="right"/>
            <w:rPr>
              <w:rFonts w:ascii="Arial" w:hAnsi="Arial" w:cs="Arial"/>
              <w:sz w:val="14"/>
              <w:lang w:val="en-GB"/>
            </w:rPr>
          </w:pPr>
          <w:r w:rsidRPr="00B94AF9">
            <w:rPr>
              <w:rFonts w:ascii="Arial" w:hAnsi="Arial" w:cs="Arial"/>
              <w:sz w:val="14"/>
              <w:lang w:val="en-GB"/>
            </w:rPr>
            <w:t xml:space="preserve">Switchboard: </w:t>
          </w:r>
          <w:r w:rsidRPr="00B94AF9">
            <w:rPr>
              <w:rFonts w:ascii="Arial" w:hAnsi="Arial" w:cs="Arial"/>
              <w:sz w:val="14"/>
              <w:lang w:val="en-GB"/>
            </w:rPr>
            <w:tab/>
            <w:t>+44 (0)20 7489 1188</w:t>
          </w:r>
          <w:r w:rsidRPr="00B94AF9">
            <w:rPr>
              <w:rFonts w:ascii="Arial" w:hAnsi="Arial" w:cs="Arial"/>
              <w:b/>
              <w:bCs/>
              <w:sz w:val="14"/>
              <w:lang w:val="en-GB"/>
            </w:rPr>
            <w:br/>
          </w:r>
          <w:r w:rsidRPr="00B94AF9">
            <w:rPr>
              <w:rFonts w:ascii="Arial" w:hAnsi="Arial" w:cs="Arial"/>
              <w:sz w:val="14"/>
              <w:lang w:val="en-GB"/>
            </w:rPr>
            <w:t xml:space="preserve">Facsimile: </w:t>
          </w:r>
          <w:r w:rsidRPr="00B94AF9">
            <w:rPr>
              <w:rFonts w:ascii="Arial" w:hAnsi="Arial" w:cs="Arial"/>
              <w:sz w:val="14"/>
              <w:lang w:val="en-GB"/>
            </w:rPr>
            <w:tab/>
            <w:t>+44 (0)20 7329 6144</w:t>
          </w:r>
        </w:p>
      </w:tc>
    </w:tr>
  </w:tbl>
  <w:p w14:paraId="6B931B05" w14:textId="77777777" w:rsidR="00943D33" w:rsidRPr="002B3FCA" w:rsidRDefault="00943D33" w:rsidP="002B3FCA">
    <w:pPr>
      <w:pStyle w:val="Header"/>
      <w:tabs>
        <w:tab w:val="clear" w:pos="8640"/>
        <w:tab w:val="right" w:pos="8931"/>
      </w:tabs>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5C6C"/>
    <w:multiLevelType w:val="multilevel"/>
    <w:tmpl w:val="98F8FC2E"/>
    <w:name w:val="Defs"/>
    <w:lvl w:ilvl="0">
      <w:start w:val="1"/>
      <w:numFmt w:val="none"/>
      <w:pStyle w:val="Def1"/>
      <w:suff w:val="nothing"/>
      <w:lvlText w:val=""/>
      <w:lvlJc w:val="left"/>
      <w:pPr>
        <w:ind w:left="0" w:firstLine="0"/>
      </w:pPr>
      <w:rPr>
        <w:rFonts w:hint="default"/>
      </w:rPr>
    </w:lvl>
    <w:lvl w:ilvl="1">
      <w:start w:val="1"/>
      <w:numFmt w:val="lowerLetter"/>
      <w:pStyle w:val="Def2"/>
      <w:lvlText w:val="(%2)"/>
      <w:lvlJc w:val="left"/>
      <w:pPr>
        <w:tabs>
          <w:tab w:val="num" w:pos="720"/>
        </w:tabs>
        <w:ind w:left="720" w:hanging="720"/>
      </w:pPr>
      <w:rPr>
        <w:rFonts w:hint="default"/>
      </w:rPr>
    </w:lvl>
    <w:lvl w:ilvl="2">
      <w:start w:val="1"/>
      <w:numFmt w:val="lowerRoman"/>
      <w:pStyle w:val="Def3"/>
      <w:lvlText w:val="(%3)"/>
      <w:lvlJc w:val="left"/>
      <w:pPr>
        <w:tabs>
          <w:tab w:val="num" w:pos="1440"/>
        </w:tabs>
        <w:ind w:left="1440" w:hanging="720"/>
      </w:pPr>
      <w:rPr>
        <w:rFonts w:hint="default"/>
      </w:rPr>
    </w:lvl>
    <w:lvl w:ilvl="3">
      <w:start w:val="1"/>
      <w:numFmt w:val="lowerLetter"/>
      <w:pStyle w:val="Def4"/>
      <w:lvlText w:val="(%4)"/>
      <w:lvlJc w:val="left"/>
      <w:pPr>
        <w:tabs>
          <w:tab w:val="num" w:pos="1440"/>
        </w:tabs>
        <w:ind w:left="1440" w:hanging="720"/>
      </w:pPr>
      <w:rPr>
        <w:rFonts w:hint="default"/>
      </w:rPr>
    </w:lvl>
    <w:lvl w:ilvl="4">
      <w:start w:val="1"/>
      <w:numFmt w:val="upperLetter"/>
      <w:pStyle w:val="Def5"/>
      <w:lvlText w:val="(%5)"/>
      <w:lvlJc w:val="left"/>
      <w:pPr>
        <w:tabs>
          <w:tab w:val="num" w:pos="3413"/>
        </w:tabs>
        <w:ind w:left="3413" w:hanging="720"/>
      </w:pPr>
      <w:rPr>
        <w:rFonts w:hint="default"/>
        <w:sz w:val="18"/>
        <w:szCs w:val="18"/>
      </w:rPr>
    </w:lvl>
    <w:lvl w:ilvl="5">
      <w:start w:val="24"/>
      <w:numFmt w:val="lowerLetter"/>
      <w:pStyle w:val="Def6"/>
      <w:lvlText w:val="(%6)"/>
      <w:lvlJc w:val="left"/>
      <w:pPr>
        <w:tabs>
          <w:tab w:val="num" w:pos="2880"/>
        </w:tabs>
        <w:ind w:left="2880" w:hanging="720"/>
      </w:pPr>
      <w:rPr>
        <w:rFonts w:hint="default"/>
      </w:rPr>
    </w:lvl>
    <w:lvl w:ilvl="6">
      <w:start w:val="1"/>
      <w:numFmt w:val="upperLetter"/>
      <w:pStyle w:val="Def7"/>
      <w:lvlText w:val="(%7)"/>
      <w:lvlJc w:val="left"/>
      <w:pPr>
        <w:tabs>
          <w:tab w:val="num" w:pos="2160"/>
        </w:tabs>
        <w:ind w:left="2160" w:hanging="720"/>
      </w:pPr>
      <w:rPr>
        <w:rFonts w:hint="default"/>
      </w:rPr>
    </w:lvl>
    <w:lvl w:ilvl="7">
      <w:start w:val="1"/>
      <w:numFmt w:val="upperRoman"/>
      <w:pStyle w:val="Def8"/>
      <w:lvlText w:val="%8."/>
      <w:lvlJc w:val="left"/>
      <w:pPr>
        <w:tabs>
          <w:tab w:val="num" w:pos="2880"/>
        </w:tabs>
        <w:ind w:left="2880" w:hanging="720"/>
      </w:pPr>
      <w:rPr>
        <w:rFonts w:hint="default"/>
      </w:rPr>
    </w:lvl>
    <w:lvl w:ilvl="8">
      <w:start w:val="1"/>
      <w:numFmt w:val="lowerLetter"/>
      <w:pStyle w:val="Def9"/>
      <w:lvlText w:val="(%9)"/>
      <w:lvlJc w:val="left"/>
      <w:pPr>
        <w:tabs>
          <w:tab w:val="num" w:pos="2880"/>
        </w:tabs>
        <w:ind w:left="2880" w:hanging="720"/>
      </w:pPr>
      <w:rPr>
        <w:rFonts w:hint="default"/>
      </w:rPr>
    </w:lvl>
  </w:abstractNum>
  <w:abstractNum w:abstractNumId="1" w15:restartNumberingAfterBreak="0">
    <w:nsid w:val="1548104D"/>
    <w:multiLevelType w:val="multilevel"/>
    <w:tmpl w:val="50F2E3CC"/>
    <w:name w:val="Defpara"/>
    <w:lvl w:ilvl="0">
      <w:start w:val="1"/>
      <w:numFmt w:val="none"/>
      <w:pStyle w:val="Defhead"/>
      <w:suff w:val="nothing"/>
      <w:lvlText w:val=""/>
      <w:lvlJc w:val="left"/>
      <w:pPr>
        <w:ind w:left="0" w:firstLine="0"/>
      </w:pPr>
      <w:rPr>
        <w:rFonts w:hint="default"/>
      </w:rPr>
    </w:lvl>
    <w:lvl w:ilvl="1">
      <w:start w:val="1"/>
      <w:numFmt w:val="upperLetter"/>
      <w:pStyle w:val="Defpara1"/>
      <w:lvlText w:val="(%1%2)"/>
      <w:lvlJc w:val="left"/>
      <w:pPr>
        <w:tabs>
          <w:tab w:val="num" w:pos="720"/>
        </w:tabs>
        <w:ind w:left="720" w:hanging="720"/>
      </w:pPr>
      <w:rPr>
        <w:rFonts w:hint="default"/>
      </w:rPr>
    </w:lvl>
    <w:lvl w:ilvl="2">
      <w:start w:val="1"/>
      <w:numFmt w:val="lowerLetter"/>
      <w:pStyle w:val="Defpara2"/>
      <w:lvlText w:val="(%1%3)"/>
      <w:lvlJc w:val="left"/>
      <w:pPr>
        <w:tabs>
          <w:tab w:val="num" w:pos="720"/>
        </w:tabs>
        <w:ind w:left="720" w:hanging="720"/>
      </w:pPr>
      <w:rPr>
        <w:rFonts w:hint="default"/>
      </w:rPr>
    </w:lvl>
    <w:lvl w:ilvl="3">
      <w:start w:val="1"/>
      <w:numFmt w:val="lowerRoman"/>
      <w:pStyle w:val="Defpara3"/>
      <w:lvlText w:val="(%1%4)"/>
      <w:lvlJc w:val="left"/>
      <w:pPr>
        <w:tabs>
          <w:tab w:val="num" w:pos="720"/>
        </w:tabs>
        <w:ind w:left="720" w:hanging="720"/>
      </w:pPr>
      <w:rPr>
        <w:rFonts w:hint="default"/>
      </w:rPr>
    </w:lvl>
    <w:lvl w:ilvl="4">
      <w:start w:val="1"/>
      <w:numFmt w:val="decimal"/>
      <w:pStyle w:val="Defpara4"/>
      <w:lvlText w:val="(%5)"/>
      <w:lvlJc w:val="left"/>
      <w:pPr>
        <w:tabs>
          <w:tab w:val="num" w:pos="1440"/>
        </w:tabs>
        <w:ind w:left="1440" w:hanging="720"/>
      </w:pPr>
      <w:rPr>
        <w:rFonts w:hint="default"/>
      </w:rPr>
    </w:lvl>
    <w:lvl w:ilvl="5">
      <w:start w:val="1"/>
      <w:numFmt w:val="lowerLetter"/>
      <w:pStyle w:val="Defpara5"/>
      <w:lvlText w:val="(%6)"/>
      <w:lvlJc w:val="left"/>
      <w:pPr>
        <w:tabs>
          <w:tab w:val="num" w:pos="2160"/>
        </w:tabs>
        <w:ind w:left="2160" w:hanging="720"/>
      </w:pPr>
      <w:rPr>
        <w:rFonts w:hint="default"/>
      </w:rPr>
    </w:lvl>
    <w:lvl w:ilvl="6">
      <w:start w:val="1"/>
      <w:numFmt w:val="upperLetter"/>
      <w:pStyle w:val="Defpara6"/>
      <w:lvlText w:val="(%7)"/>
      <w:lvlJc w:val="left"/>
      <w:pPr>
        <w:tabs>
          <w:tab w:val="num" w:pos="2880"/>
        </w:tabs>
        <w:ind w:left="2880" w:hanging="720"/>
      </w:pPr>
      <w:rPr>
        <w:rFonts w:hint="default"/>
      </w:rPr>
    </w:lvl>
    <w:lvl w:ilvl="7">
      <w:start w:val="24"/>
      <w:numFmt w:val="lowerLetter"/>
      <w:pStyle w:val="Defpara7"/>
      <w:lvlText w:val="(%8)"/>
      <w:lvlJc w:val="left"/>
      <w:pPr>
        <w:tabs>
          <w:tab w:val="num" w:pos="3600"/>
        </w:tabs>
        <w:ind w:left="3600" w:hanging="720"/>
      </w:pPr>
      <w:rPr>
        <w:rFonts w:hint="default"/>
      </w:rPr>
    </w:lvl>
    <w:lvl w:ilvl="8">
      <w:start w:val="1"/>
      <w:numFmt w:val="decimal"/>
      <w:pStyle w:val="Defpara8"/>
      <w:lvlText w:val="(%9)"/>
      <w:lvlJc w:val="left"/>
      <w:pPr>
        <w:tabs>
          <w:tab w:val="num" w:pos="3600"/>
        </w:tabs>
        <w:ind w:left="3600" w:hanging="720"/>
      </w:pPr>
      <w:rPr>
        <w:rFonts w:hint="default"/>
      </w:rPr>
    </w:lvl>
  </w:abstractNum>
  <w:abstractNum w:abstractNumId="2" w15:restartNumberingAfterBreak="0">
    <w:nsid w:val="1E94588C"/>
    <w:multiLevelType w:val="hybridMultilevel"/>
    <w:tmpl w:val="3258C48A"/>
    <w:lvl w:ilvl="0" w:tplc="EF3C7ACC">
      <w:start w:val="1"/>
      <w:numFmt w:val="lowerRoman"/>
      <w:lvlText w:val="(%1)"/>
      <w:lvlJc w:val="left"/>
      <w:pPr>
        <w:ind w:left="720" w:hanging="720"/>
      </w:pPr>
      <w:rPr>
        <w:rFonts w:hint="default"/>
      </w:rPr>
    </w:lvl>
    <w:lvl w:ilvl="1" w:tplc="52226274" w:tentative="1">
      <w:start w:val="1"/>
      <w:numFmt w:val="lowerLetter"/>
      <w:lvlText w:val="%2."/>
      <w:lvlJc w:val="left"/>
      <w:pPr>
        <w:ind w:left="1080" w:hanging="360"/>
      </w:pPr>
    </w:lvl>
    <w:lvl w:ilvl="2" w:tplc="5A6A13FC" w:tentative="1">
      <w:start w:val="1"/>
      <w:numFmt w:val="lowerRoman"/>
      <w:lvlText w:val="%3."/>
      <w:lvlJc w:val="right"/>
      <w:pPr>
        <w:ind w:left="1800" w:hanging="180"/>
      </w:pPr>
    </w:lvl>
    <w:lvl w:ilvl="3" w:tplc="2542964E" w:tentative="1">
      <w:start w:val="1"/>
      <w:numFmt w:val="decimal"/>
      <w:lvlText w:val="%4."/>
      <w:lvlJc w:val="left"/>
      <w:pPr>
        <w:ind w:left="2520" w:hanging="360"/>
      </w:pPr>
    </w:lvl>
    <w:lvl w:ilvl="4" w:tplc="D152CF52" w:tentative="1">
      <w:start w:val="1"/>
      <w:numFmt w:val="lowerLetter"/>
      <w:lvlText w:val="%5."/>
      <w:lvlJc w:val="left"/>
      <w:pPr>
        <w:ind w:left="3240" w:hanging="360"/>
      </w:pPr>
    </w:lvl>
    <w:lvl w:ilvl="5" w:tplc="3572D826" w:tentative="1">
      <w:start w:val="1"/>
      <w:numFmt w:val="lowerRoman"/>
      <w:lvlText w:val="%6."/>
      <w:lvlJc w:val="right"/>
      <w:pPr>
        <w:ind w:left="3960" w:hanging="180"/>
      </w:pPr>
    </w:lvl>
    <w:lvl w:ilvl="6" w:tplc="B0BCB6CE" w:tentative="1">
      <w:start w:val="1"/>
      <w:numFmt w:val="decimal"/>
      <w:lvlText w:val="%7."/>
      <w:lvlJc w:val="left"/>
      <w:pPr>
        <w:ind w:left="4680" w:hanging="360"/>
      </w:pPr>
    </w:lvl>
    <w:lvl w:ilvl="7" w:tplc="8F846712" w:tentative="1">
      <w:start w:val="1"/>
      <w:numFmt w:val="lowerLetter"/>
      <w:lvlText w:val="%8."/>
      <w:lvlJc w:val="left"/>
      <w:pPr>
        <w:ind w:left="5400" w:hanging="360"/>
      </w:pPr>
    </w:lvl>
    <w:lvl w:ilvl="8" w:tplc="A34E7860" w:tentative="1">
      <w:start w:val="1"/>
      <w:numFmt w:val="lowerRoman"/>
      <w:lvlText w:val="%9."/>
      <w:lvlJc w:val="right"/>
      <w:pPr>
        <w:ind w:left="6120" w:hanging="180"/>
      </w:pPr>
    </w:lvl>
  </w:abstractNum>
  <w:abstractNum w:abstractNumId="3" w15:restartNumberingAfterBreak="0">
    <w:nsid w:val="3BC2308A"/>
    <w:multiLevelType w:val="multilevel"/>
    <w:tmpl w:val="CE1EF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AltDefpara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10642A6"/>
    <w:multiLevelType w:val="multilevel"/>
    <w:tmpl w:val="0CAEDE2A"/>
    <w:name w:val="DefSubHeads"/>
    <w:lvl w:ilvl="0">
      <w:start w:val="1"/>
      <w:numFmt w:val="none"/>
      <w:pStyle w:val="DefSubhead"/>
      <w:suff w:val="nothing"/>
      <w:lvlText w:val=""/>
      <w:lvlJc w:val="left"/>
      <w:pPr>
        <w:ind w:left="0" w:firstLine="1440"/>
      </w:pPr>
      <w:rPr>
        <w:rFonts w:hint="default"/>
      </w:rPr>
    </w:lvl>
    <w:lvl w:ilvl="1">
      <w:start w:val="1"/>
      <w:numFmt w:val="upperLetter"/>
      <w:pStyle w:val="DefSubpara1"/>
      <w:lvlText w:val="(%1%2)"/>
      <w:lvlJc w:val="left"/>
      <w:pPr>
        <w:tabs>
          <w:tab w:val="num" w:pos="2160"/>
        </w:tabs>
        <w:ind w:left="2160" w:hanging="720"/>
      </w:pPr>
      <w:rPr>
        <w:rFonts w:hint="default"/>
      </w:rPr>
    </w:lvl>
    <w:lvl w:ilvl="2">
      <w:start w:val="1"/>
      <w:numFmt w:val="upperRoman"/>
      <w:pStyle w:val="DefSubpara2"/>
      <w:lvlText w:val="%1%3."/>
      <w:lvlJc w:val="left"/>
      <w:pPr>
        <w:tabs>
          <w:tab w:val="num" w:pos="2880"/>
        </w:tabs>
        <w:ind w:left="2880" w:hanging="720"/>
      </w:pPr>
      <w:rPr>
        <w:rFonts w:hint="default"/>
      </w:rPr>
    </w:lvl>
    <w:lvl w:ilvl="3">
      <w:start w:val="1"/>
      <w:numFmt w:val="lowerLetter"/>
      <w:pStyle w:val="DefSubpara3"/>
      <w:lvlText w:val="(%1%4)"/>
      <w:lvlJc w:val="left"/>
      <w:pPr>
        <w:tabs>
          <w:tab w:val="num" w:pos="2880"/>
        </w:tabs>
        <w:ind w:left="2880" w:hanging="720"/>
      </w:pPr>
      <w:rPr>
        <w:rFonts w:hint="default"/>
      </w:rPr>
    </w:lvl>
    <w:lvl w:ilvl="4">
      <w:start w:val="1"/>
      <w:numFmt w:val="lowerRoman"/>
      <w:pStyle w:val="DefSubpara4"/>
      <w:lvlText w:val="(%5)"/>
      <w:lvlJc w:val="left"/>
      <w:pPr>
        <w:tabs>
          <w:tab w:val="num" w:pos="3600"/>
        </w:tabs>
        <w:ind w:left="360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632008FA"/>
    <w:multiLevelType w:val="hybridMultilevel"/>
    <w:tmpl w:val="138A0F36"/>
    <w:lvl w:ilvl="0" w:tplc="2064F3F2">
      <w:start w:val="1"/>
      <w:numFmt w:val="lowerRoman"/>
      <w:lvlText w:val="(%1)"/>
      <w:lvlJc w:val="left"/>
      <w:pPr>
        <w:ind w:left="743" w:hanging="720"/>
      </w:pPr>
      <w:rPr>
        <w:rFonts w:hint="default"/>
      </w:rPr>
    </w:lvl>
    <w:lvl w:ilvl="1" w:tplc="13C4C796" w:tentative="1">
      <w:start w:val="1"/>
      <w:numFmt w:val="lowerLetter"/>
      <w:lvlText w:val="%2."/>
      <w:lvlJc w:val="left"/>
      <w:pPr>
        <w:ind w:left="1103" w:hanging="360"/>
      </w:pPr>
    </w:lvl>
    <w:lvl w:ilvl="2" w:tplc="72A6B976" w:tentative="1">
      <w:start w:val="1"/>
      <w:numFmt w:val="lowerRoman"/>
      <w:lvlText w:val="%3."/>
      <w:lvlJc w:val="right"/>
      <w:pPr>
        <w:ind w:left="1823" w:hanging="180"/>
      </w:pPr>
    </w:lvl>
    <w:lvl w:ilvl="3" w:tplc="679428DE" w:tentative="1">
      <w:start w:val="1"/>
      <w:numFmt w:val="decimal"/>
      <w:lvlText w:val="%4."/>
      <w:lvlJc w:val="left"/>
      <w:pPr>
        <w:ind w:left="2543" w:hanging="360"/>
      </w:pPr>
    </w:lvl>
    <w:lvl w:ilvl="4" w:tplc="236AEF36" w:tentative="1">
      <w:start w:val="1"/>
      <w:numFmt w:val="lowerLetter"/>
      <w:lvlText w:val="%5."/>
      <w:lvlJc w:val="left"/>
      <w:pPr>
        <w:ind w:left="3263" w:hanging="360"/>
      </w:pPr>
    </w:lvl>
    <w:lvl w:ilvl="5" w:tplc="78361EC4" w:tentative="1">
      <w:start w:val="1"/>
      <w:numFmt w:val="lowerRoman"/>
      <w:lvlText w:val="%6."/>
      <w:lvlJc w:val="right"/>
      <w:pPr>
        <w:ind w:left="3983" w:hanging="180"/>
      </w:pPr>
    </w:lvl>
    <w:lvl w:ilvl="6" w:tplc="91029BBE" w:tentative="1">
      <w:start w:val="1"/>
      <w:numFmt w:val="decimal"/>
      <w:lvlText w:val="%7."/>
      <w:lvlJc w:val="left"/>
      <w:pPr>
        <w:ind w:left="4703" w:hanging="360"/>
      </w:pPr>
    </w:lvl>
    <w:lvl w:ilvl="7" w:tplc="70D40036" w:tentative="1">
      <w:start w:val="1"/>
      <w:numFmt w:val="lowerLetter"/>
      <w:lvlText w:val="%8."/>
      <w:lvlJc w:val="left"/>
      <w:pPr>
        <w:ind w:left="5423" w:hanging="360"/>
      </w:pPr>
    </w:lvl>
    <w:lvl w:ilvl="8" w:tplc="74DEFA20" w:tentative="1">
      <w:start w:val="1"/>
      <w:numFmt w:val="lowerRoman"/>
      <w:lvlText w:val="%9."/>
      <w:lvlJc w:val="right"/>
      <w:pPr>
        <w:ind w:left="6143" w:hanging="180"/>
      </w:pPr>
    </w:lvl>
  </w:abstractNum>
  <w:num w:numId="1" w16cid:durableId="1891844286">
    <w:abstractNumId w:val="5"/>
  </w:num>
  <w:num w:numId="2" w16cid:durableId="148523359">
    <w:abstractNumId w:val="2"/>
  </w:num>
  <w:num w:numId="3" w16cid:durableId="1031224123">
    <w:abstractNumId w:val="0"/>
  </w:num>
  <w:num w:numId="4" w16cid:durableId="513300027">
    <w:abstractNumId w:val="4"/>
  </w:num>
  <w:num w:numId="5" w16cid:durableId="1030381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6" w16cid:durableId="312569547">
    <w:abstractNumId w:val="0"/>
  </w:num>
  <w:num w:numId="7" w16cid:durableId="1378815901">
    <w:abstractNumId w:val="1"/>
  </w:num>
  <w:num w:numId="8" w16cid:durableId="297495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4"/>
    </w:lvlOverride>
    <w:lvlOverride w:ilvl="8">
      <w:startOverride w:val="1"/>
    </w:lvlOverride>
  </w:num>
  <w:num w:numId="9" w16cid:durableId="563297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4"/>
    </w:lvlOverride>
    <w:lvlOverride w:ilvl="8">
      <w:startOverride w:val="1"/>
    </w:lvlOverride>
  </w:num>
  <w:num w:numId="10" w16cid:durableId="1473984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62"/>
    <w:rsid w:val="0000176D"/>
    <w:rsid w:val="000024E1"/>
    <w:rsid w:val="00002567"/>
    <w:rsid w:val="0000294D"/>
    <w:rsid w:val="00002B74"/>
    <w:rsid w:val="00002C64"/>
    <w:rsid w:val="00002D18"/>
    <w:rsid w:val="00002FBC"/>
    <w:rsid w:val="00004A75"/>
    <w:rsid w:val="00005390"/>
    <w:rsid w:val="000063D1"/>
    <w:rsid w:val="00006B29"/>
    <w:rsid w:val="00006FDF"/>
    <w:rsid w:val="0000706B"/>
    <w:rsid w:val="00007081"/>
    <w:rsid w:val="00007202"/>
    <w:rsid w:val="000072C4"/>
    <w:rsid w:val="00007828"/>
    <w:rsid w:val="00010975"/>
    <w:rsid w:val="00010A32"/>
    <w:rsid w:val="00010EC2"/>
    <w:rsid w:val="000119BF"/>
    <w:rsid w:val="00012476"/>
    <w:rsid w:val="00012C61"/>
    <w:rsid w:val="000133AD"/>
    <w:rsid w:val="00013B8A"/>
    <w:rsid w:val="000140CA"/>
    <w:rsid w:val="000142D5"/>
    <w:rsid w:val="0001505F"/>
    <w:rsid w:val="0001628C"/>
    <w:rsid w:val="00016B40"/>
    <w:rsid w:val="0001701F"/>
    <w:rsid w:val="0001725E"/>
    <w:rsid w:val="000173E1"/>
    <w:rsid w:val="00017C63"/>
    <w:rsid w:val="00021083"/>
    <w:rsid w:val="0002212B"/>
    <w:rsid w:val="00022B18"/>
    <w:rsid w:val="00022FB8"/>
    <w:rsid w:val="00023CB6"/>
    <w:rsid w:val="00025598"/>
    <w:rsid w:val="00026E7B"/>
    <w:rsid w:val="00026FE0"/>
    <w:rsid w:val="000277D2"/>
    <w:rsid w:val="00027AF9"/>
    <w:rsid w:val="00027CC1"/>
    <w:rsid w:val="000303DE"/>
    <w:rsid w:val="00030405"/>
    <w:rsid w:val="000309EF"/>
    <w:rsid w:val="00030D98"/>
    <w:rsid w:val="00032484"/>
    <w:rsid w:val="00032550"/>
    <w:rsid w:val="000329EC"/>
    <w:rsid w:val="000335E0"/>
    <w:rsid w:val="000345FD"/>
    <w:rsid w:val="00034D90"/>
    <w:rsid w:val="00034F2C"/>
    <w:rsid w:val="000364D4"/>
    <w:rsid w:val="00036C09"/>
    <w:rsid w:val="0004014D"/>
    <w:rsid w:val="00040453"/>
    <w:rsid w:val="00040ED9"/>
    <w:rsid w:val="00042411"/>
    <w:rsid w:val="00042710"/>
    <w:rsid w:val="00043BC6"/>
    <w:rsid w:val="00044B8D"/>
    <w:rsid w:val="00045226"/>
    <w:rsid w:val="00045B54"/>
    <w:rsid w:val="00045B68"/>
    <w:rsid w:val="00045E75"/>
    <w:rsid w:val="0004638D"/>
    <w:rsid w:val="0004691A"/>
    <w:rsid w:val="00046BB6"/>
    <w:rsid w:val="00046C0C"/>
    <w:rsid w:val="00046E81"/>
    <w:rsid w:val="00047A1C"/>
    <w:rsid w:val="00050013"/>
    <w:rsid w:val="000502BE"/>
    <w:rsid w:val="000503ED"/>
    <w:rsid w:val="00050F44"/>
    <w:rsid w:val="000514EA"/>
    <w:rsid w:val="0005162C"/>
    <w:rsid w:val="00051C23"/>
    <w:rsid w:val="00051FFC"/>
    <w:rsid w:val="000526A3"/>
    <w:rsid w:val="00053D82"/>
    <w:rsid w:val="00054246"/>
    <w:rsid w:val="000567BB"/>
    <w:rsid w:val="00056A1E"/>
    <w:rsid w:val="00056DCA"/>
    <w:rsid w:val="00057552"/>
    <w:rsid w:val="00057CFE"/>
    <w:rsid w:val="00060705"/>
    <w:rsid w:val="00060DF6"/>
    <w:rsid w:val="00061066"/>
    <w:rsid w:val="00061B5E"/>
    <w:rsid w:val="00061DFE"/>
    <w:rsid w:val="00061F3A"/>
    <w:rsid w:val="000624B4"/>
    <w:rsid w:val="00062D4A"/>
    <w:rsid w:val="000634C4"/>
    <w:rsid w:val="00063AEF"/>
    <w:rsid w:val="00063DC5"/>
    <w:rsid w:val="00063DF4"/>
    <w:rsid w:val="00065389"/>
    <w:rsid w:val="00065BE6"/>
    <w:rsid w:val="00066878"/>
    <w:rsid w:val="00066A32"/>
    <w:rsid w:val="000670BE"/>
    <w:rsid w:val="0006772B"/>
    <w:rsid w:val="000705C2"/>
    <w:rsid w:val="00071703"/>
    <w:rsid w:val="00071897"/>
    <w:rsid w:val="00071AD0"/>
    <w:rsid w:val="00071D3E"/>
    <w:rsid w:val="000726D1"/>
    <w:rsid w:val="00073DE8"/>
    <w:rsid w:val="00074A9D"/>
    <w:rsid w:val="00074AC1"/>
    <w:rsid w:val="00075A76"/>
    <w:rsid w:val="00075DEE"/>
    <w:rsid w:val="00075EBB"/>
    <w:rsid w:val="000767FA"/>
    <w:rsid w:val="000770E2"/>
    <w:rsid w:val="000774E1"/>
    <w:rsid w:val="00077BF4"/>
    <w:rsid w:val="000803C6"/>
    <w:rsid w:val="0008049F"/>
    <w:rsid w:val="00081313"/>
    <w:rsid w:val="000814E3"/>
    <w:rsid w:val="00081DD0"/>
    <w:rsid w:val="0008239B"/>
    <w:rsid w:val="00082735"/>
    <w:rsid w:val="000830CF"/>
    <w:rsid w:val="00083CC1"/>
    <w:rsid w:val="000844E2"/>
    <w:rsid w:val="000845CD"/>
    <w:rsid w:val="00084ACC"/>
    <w:rsid w:val="00085C0E"/>
    <w:rsid w:val="000860A7"/>
    <w:rsid w:val="00086FD1"/>
    <w:rsid w:val="000872E7"/>
    <w:rsid w:val="0008752D"/>
    <w:rsid w:val="00090130"/>
    <w:rsid w:val="000909E4"/>
    <w:rsid w:val="00090B62"/>
    <w:rsid w:val="00090BE6"/>
    <w:rsid w:val="00090EC3"/>
    <w:rsid w:val="00090FC5"/>
    <w:rsid w:val="0009133B"/>
    <w:rsid w:val="00091B62"/>
    <w:rsid w:val="00092AD9"/>
    <w:rsid w:val="00094380"/>
    <w:rsid w:val="00094D34"/>
    <w:rsid w:val="00095339"/>
    <w:rsid w:val="000961A3"/>
    <w:rsid w:val="0009711E"/>
    <w:rsid w:val="0009788D"/>
    <w:rsid w:val="00097BFD"/>
    <w:rsid w:val="00097C77"/>
    <w:rsid w:val="00097D19"/>
    <w:rsid w:val="000A004D"/>
    <w:rsid w:val="000A041F"/>
    <w:rsid w:val="000A0A09"/>
    <w:rsid w:val="000A0C3A"/>
    <w:rsid w:val="000A135A"/>
    <w:rsid w:val="000A1BBF"/>
    <w:rsid w:val="000A24C4"/>
    <w:rsid w:val="000A24C5"/>
    <w:rsid w:val="000A2654"/>
    <w:rsid w:val="000A2A82"/>
    <w:rsid w:val="000A2F1D"/>
    <w:rsid w:val="000A3883"/>
    <w:rsid w:val="000A39DF"/>
    <w:rsid w:val="000A3AA0"/>
    <w:rsid w:val="000A3C0A"/>
    <w:rsid w:val="000A3EEE"/>
    <w:rsid w:val="000A433A"/>
    <w:rsid w:val="000A4E0A"/>
    <w:rsid w:val="000A6CAE"/>
    <w:rsid w:val="000A6E0D"/>
    <w:rsid w:val="000A738C"/>
    <w:rsid w:val="000A7654"/>
    <w:rsid w:val="000A7BEC"/>
    <w:rsid w:val="000B0615"/>
    <w:rsid w:val="000B0A26"/>
    <w:rsid w:val="000B0DEA"/>
    <w:rsid w:val="000B108A"/>
    <w:rsid w:val="000B1335"/>
    <w:rsid w:val="000B1815"/>
    <w:rsid w:val="000B1A18"/>
    <w:rsid w:val="000B27D6"/>
    <w:rsid w:val="000B28FF"/>
    <w:rsid w:val="000B2A94"/>
    <w:rsid w:val="000B2B7A"/>
    <w:rsid w:val="000B2FF4"/>
    <w:rsid w:val="000B301B"/>
    <w:rsid w:val="000B35AE"/>
    <w:rsid w:val="000B3DCF"/>
    <w:rsid w:val="000B464A"/>
    <w:rsid w:val="000B4907"/>
    <w:rsid w:val="000B4C7F"/>
    <w:rsid w:val="000B4F2C"/>
    <w:rsid w:val="000B5350"/>
    <w:rsid w:val="000B569B"/>
    <w:rsid w:val="000B5D2E"/>
    <w:rsid w:val="000B5F81"/>
    <w:rsid w:val="000B7560"/>
    <w:rsid w:val="000B76A8"/>
    <w:rsid w:val="000C0264"/>
    <w:rsid w:val="000C09F4"/>
    <w:rsid w:val="000C0A99"/>
    <w:rsid w:val="000C0DD0"/>
    <w:rsid w:val="000C0F15"/>
    <w:rsid w:val="000C0FDD"/>
    <w:rsid w:val="000C136D"/>
    <w:rsid w:val="000C14A3"/>
    <w:rsid w:val="000C19FA"/>
    <w:rsid w:val="000C23FA"/>
    <w:rsid w:val="000C25CC"/>
    <w:rsid w:val="000C307B"/>
    <w:rsid w:val="000C3E63"/>
    <w:rsid w:val="000C4546"/>
    <w:rsid w:val="000C4F06"/>
    <w:rsid w:val="000C5060"/>
    <w:rsid w:val="000C5BB9"/>
    <w:rsid w:val="000C5D3B"/>
    <w:rsid w:val="000C63D3"/>
    <w:rsid w:val="000C6EB6"/>
    <w:rsid w:val="000C7077"/>
    <w:rsid w:val="000C75B4"/>
    <w:rsid w:val="000D0193"/>
    <w:rsid w:val="000D0374"/>
    <w:rsid w:val="000D0586"/>
    <w:rsid w:val="000D0831"/>
    <w:rsid w:val="000D0AD2"/>
    <w:rsid w:val="000D0B58"/>
    <w:rsid w:val="000D12FB"/>
    <w:rsid w:val="000D16FE"/>
    <w:rsid w:val="000D19D3"/>
    <w:rsid w:val="000D1CF8"/>
    <w:rsid w:val="000D2061"/>
    <w:rsid w:val="000D224A"/>
    <w:rsid w:val="000D24AF"/>
    <w:rsid w:val="000D2523"/>
    <w:rsid w:val="000D26E4"/>
    <w:rsid w:val="000D275F"/>
    <w:rsid w:val="000D2AAC"/>
    <w:rsid w:val="000D2AE1"/>
    <w:rsid w:val="000D2F33"/>
    <w:rsid w:val="000D3152"/>
    <w:rsid w:val="000D403D"/>
    <w:rsid w:val="000D4448"/>
    <w:rsid w:val="000D5357"/>
    <w:rsid w:val="000D59CC"/>
    <w:rsid w:val="000D5C89"/>
    <w:rsid w:val="000D667F"/>
    <w:rsid w:val="000D6C0C"/>
    <w:rsid w:val="000D6CB0"/>
    <w:rsid w:val="000D766E"/>
    <w:rsid w:val="000D7E08"/>
    <w:rsid w:val="000E02EF"/>
    <w:rsid w:val="000E050B"/>
    <w:rsid w:val="000E053E"/>
    <w:rsid w:val="000E0866"/>
    <w:rsid w:val="000E0AFE"/>
    <w:rsid w:val="000E0C04"/>
    <w:rsid w:val="000E1195"/>
    <w:rsid w:val="000E15B2"/>
    <w:rsid w:val="000E1755"/>
    <w:rsid w:val="000E2616"/>
    <w:rsid w:val="000E3983"/>
    <w:rsid w:val="000E3B35"/>
    <w:rsid w:val="000E3FC6"/>
    <w:rsid w:val="000E4FD2"/>
    <w:rsid w:val="000E51F9"/>
    <w:rsid w:val="000E5CEB"/>
    <w:rsid w:val="000E5CED"/>
    <w:rsid w:val="000E5F99"/>
    <w:rsid w:val="000E6173"/>
    <w:rsid w:val="000E62CF"/>
    <w:rsid w:val="000E65AD"/>
    <w:rsid w:val="000E693E"/>
    <w:rsid w:val="000E6CB1"/>
    <w:rsid w:val="000E6E07"/>
    <w:rsid w:val="000E72C7"/>
    <w:rsid w:val="000E738F"/>
    <w:rsid w:val="000E75AF"/>
    <w:rsid w:val="000E75E4"/>
    <w:rsid w:val="000E7CFA"/>
    <w:rsid w:val="000E7FC3"/>
    <w:rsid w:val="000F0120"/>
    <w:rsid w:val="000F0172"/>
    <w:rsid w:val="000F05F7"/>
    <w:rsid w:val="000F0C67"/>
    <w:rsid w:val="000F0F4B"/>
    <w:rsid w:val="000F1179"/>
    <w:rsid w:val="000F12A2"/>
    <w:rsid w:val="000F1678"/>
    <w:rsid w:val="000F176C"/>
    <w:rsid w:val="000F188A"/>
    <w:rsid w:val="000F200F"/>
    <w:rsid w:val="000F2BD9"/>
    <w:rsid w:val="000F3AE0"/>
    <w:rsid w:val="000F3FE7"/>
    <w:rsid w:val="000F4125"/>
    <w:rsid w:val="000F4531"/>
    <w:rsid w:val="000F4586"/>
    <w:rsid w:val="000F4FE3"/>
    <w:rsid w:val="000F5244"/>
    <w:rsid w:val="000F5458"/>
    <w:rsid w:val="000F566D"/>
    <w:rsid w:val="000F5B74"/>
    <w:rsid w:val="000F5CD6"/>
    <w:rsid w:val="000F6495"/>
    <w:rsid w:val="000F6AC9"/>
    <w:rsid w:val="000F7487"/>
    <w:rsid w:val="0010122E"/>
    <w:rsid w:val="0010276C"/>
    <w:rsid w:val="00102C89"/>
    <w:rsid w:val="00103067"/>
    <w:rsid w:val="001035B9"/>
    <w:rsid w:val="001039A9"/>
    <w:rsid w:val="00103EF4"/>
    <w:rsid w:val="0010450D"/>
    <w:rsid w:val="00104E90"/>
    <w:rsid w:val="00104EFE"/>
    <w:rsid w:val="00105048"/>
    <w:rsid w:val="001051A1"/>
    <w:rsid w:val="00105876"/>
    <w:rsid w:val="00105A51"/>
    <w:rsid w:val="00105CD3"/>
    <w:rsid w:val="00105E43"/>
    <w:rsid w:val="0010601C"/>
    <w:rsid w:val="00106515"/>
    <w:rsid w:val="00106F09"/>
    <w:rsid w:val="00107408"/>
    <w:rsid w:val="001078FE"/>
    <w:rsid w:val="00110511"/>
    <w:rsid w:val="001118E2"/>
    <w:rsid w:val="001119ED"/>
    <w:rsid w:val="001132C9"/>
    <w:rsid w:val="00113878"/>
    <w:rsid w:val="00113C47"/>
    <w:rsid w:val="0011424F"/>
    <w:rsid w:val="00114FA8"/>
    <w:rsid w:val="00115297"/>
    <w:rsid w:val="001156C4"/>
    <w:rsid w:val="00115BB1"/>
    <w:rsid w:val="00115D38"/>
    <w:rsid w:val="00116734"/>
    <w:rsid w:val="0011691E"/>
    <w:rsid w:val="001175C0"/>
    <w:rsid w:val="00117C7F"/>
    <w:rsid w:val="00117EAD"/>
    <w:rsid w:val="001202BB"/>
    <w:rsid w:val="00121A9E"/>
    <w:rsid w:val="001223A2"/>
    <w:rsid w:val="001225FD"/>
    <w:rsid w:val="0012263E"/>
    <w:rsid w:val="001236CF"/>
    <w:rsid w:val="00123B41"/>
    <w:rsid w:val="00124127"/>
    <w:rsid w:val="001241B5"/>
    <w:rsid w:val="00124680"/>
    <w:rsid w:val="00124E74"/>
    <w:rsid w:val="00125DAB"/>
    <w:rsid w:val="0012623A"/>
    <w:rsid w:val="00126512"/>
    <w:rsid w:val="00130CDF"/>
    <w:rsid w:val="00130E4F"/>
    <w:rsid w:val="00131280"/>
    <w:rsid w:val="00131EE9"/>
    <w:rsid w:val="001326CA"/>
    <w:rsid w:val="001328DB"/>
    <w:rsid w:val="00132BD4"/>
    <w:rsid w:val="00132D20"/>
    <w:rsid w:val="00133317"/>
    <w:rsid w:val="00133664"/>
    <w:rsid w:val="00133FFE"/>
    <w:rsid w:val="001348FE"/>
    <w:rsid w:val="00134DE5"/>
    <w:rsid w:val="00135419"/>
    <w:rsid w:val="00136DF0"/>
    <w:rsid w:val="00140936"/>
    <w:rsid w:val="00141414"/>
    <w:rsid w:val="00142909"/>
    <w:rsid w:val="00143604"/>
    <w:rsid w:val="001441DA"/>
    <w:rsid w:val="00144750"/>
    <w:rsid w:val="00144891"/>
    <w:rsid w:val="00144D9F"/>
    <w:rsid w:val="00145AB9"/>
    <w:rsid w:val="00145D7A"/>
    <w:rsid w:val="001468E4"/>
    <w:rsid w:val="00146981"/>
    <w:rsid w:val="00146D8F"/>
    <w:rsid w:val="0014728F"/>
    <w:rsid w:val="00147481"/>
    <w:rsid w:val="00147532"/>
    <w:rsid w:val="001477CB"/>
    <w:rsid w:val="00150CA2"/>
    <w:rsid w:val="00150F09"/>
    <w:rsid w:val="001513A4"/>
    <w:rsid w:val="001513B9"/>
    <w:rsid w:val="001516F0"/>
    <w:rsid w:val="0015220B"/>
    <w:rsid w:val="00153F0E"/>
    <w:rsid w:val="00153FF6"/>
    <w:rsid w:val="00154D0D"/>
    <w:rsid w:val="00155227"/>
    <w:rsid w:val="00155A57"/>
    <w:rsid w:val="00156BA1"/>
    <w:rsid w:val="00156C34"/>
    <w:rsid w:val="00156D87"/>
    <w:rsid w:val="00156F5C"/>
    <w:rsid w:val="00157029"/>
    <w:rsid w:val="001570A0"/>
    <w:rsid w:val="00157A2E"/>
    <w:rsid w:val="00157C0D"/>
    <w:rsid w:val="00157C10"/>
    <w:rsid w:val="0016012E"/>
    <w:rsid w:val="00160949"/>
    <w:rsid w:val="001609BC"/>
    <w:rsid w:val="00160FD8"/>
    <w:rsid w:val="00161878"/>
    <w:rsid w:val="0016271D"/>
    <w:rsid w:val="00162A26"/>
    <w:rsid w:val="0016316D"/>
    <w:rsid w:val="00163897"/>
    <w:rsid w:val="00163B00"/>
    <w:rsid w:val="001656F3"/>
    <w:rsid w:val="00166749"/>
    <w:rsid w:val="00166D34"/>
    <w:rsid w:val="001671B9"/>
    <w:rsid w:val="00167F9A"/>
    <w:rsid w:val="00170473"/>
    <w:rsid w:val="00170965"/>
    <w:rsid w:val="00170AD3"/>
    <w:rsid w:val="00170D61"/>
    <w:rsid w:val="00171992"/>
    <w:rsid w:val="00171E8C"/>
    <w:rsid w:val="00171FB9"/>
    <w:rsid w:val="00172288"/>
    <w:rsid w:val="00172CED"/>
    <w:rsid w:val="001733B8"/>
    <w:rsid w:val="00173B01"/>
    <w:rsid w:val="0017419B"/>
    <w:rsid w:val="00174702"/>
    <w:rsid w:val="001747A1"/>
    <w:rsid w:val="00174904"/>
    <w:rsid w:val="001755A5"/>
    <w:rsid w:val="00175A8F"/>
    <w:rsid w:val="00175CD8"/>
    <w:rsid w:val="001766C3"/>
    <w:rsid w:val="00176FC0"/>
    <w:rsid w:val="0017716C"/>
    <w:rsid w:val="0017724C"/>
    <w:rsid w:val="0017755E"/>
    <w:rsid w:val="00177878"/>
    <w:rsid w:val="001778A0"/>
    <w:rsid w:val="00177917"/>
    <w:rsid w:val="00177C14"/>
    <w:rsid w:val="00180BF6"/>
    <w:rsid w:val="00181734"/>
    <w:rsid w:val="00182245"/>
    <w:rsid w:val="00182413"/>
    <w:rsid w:val="00183B22"/>
    <w:rsid w:val="00184A41"/>
    <w:rsid w:val="00184BC0"/>
    <w:rsid w:val="00185B71"/>
    <w:rsid w:val="00186146"/>
    <w:rsid w:val="001861E6"/>
    <w:rsid w:val="0018633B"/>
    <w:rsid w:val="00186EC8"/>
    <w:rsid w:val="00187095"/>
    <w:rsid w:val="00187115"/>
    <w:rsid w:val="001875C0"/>
    <w:rsid w:val="00187B46"/>
    <w:rsid w:val="001903E5"/>
    <w:rsid w:val="0019079C"/>
    <w:rsid w:val="001919F7"/>
    <w:rsid w:val="00191CAE"/>
    <w:rsid w:val="001920FB"/>
    <w:rsid w:val="00192AE5"/>
    <w:rsid w:val="00192E6C"/>
    <w:rsid w:val="001932CD"/>
    <w:rsid w:val="00193A59"/>
    <w:rsid w:val="00193B15"/>
    <w:rsid w:val="00193D02"/>
    <w:rsid w:val="001942D0"/>
    <w:rsid w:val="001942FA"/>
    <w:rsid w:val="00194FF3"/>
    <w:rsid w:val="001953FE"/>
    <w:rsid w:val="001955E2"/>
    <w:rsid w:val="00195613"/>
    <w:rsid w:val="00195648"/>
    <w:rsid w:val="00196989"/>
    <w:rsid w:val="00197690"/>
    <w:rsid w:val="00197A1D"/>
    <w:rsid w:val="00197F84"/>
    <w:rsid w:val="001A0423"/>
    <w:rsid w:val="001A0696"/>
    <w:rsid w:val="001A06A8"/>
    <w:rsid w:val="001A09B2"/>
    <w:rsid w:val="001A0A1C"/>
    <w:rsid w:val="001A0A90"/>
    <w:rsid w:val="001A2AE2"/>
    <w:rsid w:val="001A2B3F"/>
    <w:rsid w:val="001A3035"/>
    <w:rsid w:val="001A307E"/>
    <w:rsid w:val="001A31B5"/>
    <w:rsid w:val="001A3D0D"/>
    <w:rsid w:val="001A5591"/>
    <w:rsid w:val="001A69CB"/>
    <w:rsid w:val="001A6B5A"/>
    <w:rsid w:val="001A75B1"/>
    <w:rsid w:val="001B00B3"/>
    <w:rsid w:val="001B054A"/>
    <w:rsid w:val="001B0711"/>
    <w:rsid w:val="001B11BC"/>
    <w:rsid w:val="001B12CE"/>
    <w:rsid w:val="001B15F0"/>
    <w:rsid w:val="001B24A2"/>
    <w:rsid w:val="001B32F9"/>
    <w:rsid w:val="001B4037"/>
    <w:rsid w:val="001B451E"/>
    <w:rsid w:val="001B5232"/>
    <w:rsid w:val="001B5752"/>
    <w:rsid w:val="001B5923"/>
    <w:rsid w:val="001B63A3"/>
    <w:rsid w:val="001B7071"/>
    <w:rsid w:val="001C034D"/>
    <w:rsid w:val="001C0631"/>
    <w:rsid w:val="001C075B"/>
    <w:rsid w:val="001C1C98"/>
    <w:rsid w:val="001C2064"/>
    <w:rsid w:val="001C22D8"/>
    <w:rsid w:val="001C23CC"/>
    <w:rsid w:val="001C2683"/>
    <w:rsid w:val="001C26A7"/>
    <w:rsid w:val="001C2970"/>
    <w:rsid w:val="001C2CBE"/>
    <w:rsid w:val="001C363E"/>
    <w:rsid w:val="001C385A"/>
    <w:rsid w:val="001C38A8"/>
    <w:rsid w:val="001C3CC9"/>
    <w:rsid w:val="001C5EE9"/>
    <w:rsid w:val="001C669E"/>
    <w:rsid w:val="001C67EF"/>
    <w:rsid w:val="001C6972"/>
    <w:rsid w:val="001C7A5D"/>
    <w:rsid w:val="001D049C"/>
    <w:rsid w:val="001D091A"/>
    <w:rsid w:val="001D1A25"/>
    <w:rsid w:val="001D1DFE"/>
    <w:rsid w:val="001D2F75"/>
    <w:rsid w:val="001D3112"/>
    <w:rsid w:val="001D3301"/>
    <w:rsid w:val="001D5364"/>
    <w:rsid w:val="001D55A8"/>
    <w:rsid w:val="001D57AB"/>
    <w:rsid w:val="001D5CED"/>
    <w:rsid w:val="001D5D66"/>
    <w:rsid w:val="001D62E8"/>
    <w:rsid w:val="001D66D7"/>
    <w:rsid w:val="001D756E"/>
    <w:rsid w:val="001D7810"/>
    <w:rsid w:val="001D7946"/>
    <w:rsid w:val="001D7D2A"/>
    <w:rsid w:val="001E0098"/>
    <w:rsid w:val="001E0227"/>
    <w:rsid w:val="001E02AE"/>
    <w:rsid w:val="001E0DED"/>
    <w:rsid w:val="001E1C55"/>
    <w:rsid w:val="001E211F"/>
    <w:rsid w:val="001E2F03"/>
    <w:rsid w:val="001E3380"/>
    <w:rsid w:val="001E40B4"/>
    <w:rsid w:val="001E4123"/>
    <w:rsid w:val="001E44C6"/>
    <w:rsid w:val="001E49AC"/>
    <w:rsid w:val="001E53EB"/>
    <w:rsid w:val="001E5916"/>
    <w:rsid w:val="001E5970"/>
    <w:rsid w:val="001E5D3D"/>
    <w:rsid w:val="001E5EB6"/>
    <w:rsid w:val="001E6325"/>
    <w:rsid w:val="001E6A26"/>
    <w:rsid w:val="001E6DCE"/>
    <w:rsid w:val="001F0150"/>
    <w:rsid w:val="001F07DE"/>
    <w:rsid w:val="001F0D7B"/>
    <w:rsid w:val="001F0E59"/>
    <w:rsid w:val="001F0F81"/>
    <w:rsid w:val="001F107E"/>
    <w:rsid w:val="001F24F5"/>
    <w:rsid w:val="001F3996"/>
    <w:rsid w:val="001F3AA9"/>
    <w:rsid w:val="001F4E2A"/>
    <w:rsid w:val="001F672D"/>
    <w:rsid w:val="001F7EC7"/>
    <w:rsid w:val="0020066B"/>
    <w:rsid w:val="002007AD"/>
    <w:rsid w:val="00201A15"/>
    <w:rsid w:val="00201CC1"/>
    <w:rsid w:val="002028DD"/>
    <w:rsid w:val="00202E3D"/>
    <w:rsid w:val="00203642"/>
    <w:rsid w:val="002037BC"/>
    <w:rsid w:val="00203E9C"/>
    <w:rsid w:val="00203F4B"/>
    <w:rsid w:val="002045EF"/>
    <w:rsid w:val="0020520D"/>
    <w:rsid w:val="002052C2"/>
    <w:rsid w:val="002059EC"/>
    <w:rsid w:val="00205F59"/>
    <w:rsid w:val="00206259"/>
    <w:rsid w:val="00206A00"/>
    <w:rsid w:val="00210F39"/>
    <w:rsid w:val="002115A7"/>
    <w:rsid w:val="002118B1"/>
    <w:rsid w:val="00211972"/>
    <w:rsid w:val="002128E4"/>
    <w:rsid w:val="00213451"/>
    <w:rsid w:val="00213F11"/>
    <w:rsid w:val="002142F1"/>
    <w:rsid w:val="00215C3C"/>
    <w:rsid w:val="00215D55"/>
    <w:rsid w:val="00215DFF"/>
    <w:rsid w:val="002162FC"/>
    <w:rsid w:val="00216CBB"/>
    <w:rsid w:val="00216D7D"/>
    <w:rsid w:val="002171C7"/>
    <w:rsid w:val="00217C64"/>
    <w:rsid w:val="00217C84"/>
    <w:rsid w:val="0022028A"/>
    <w:rsid w:val="0022041E"/>
    <w:rsid w:val="002205D2"/>
    <w:rsid w:val="00220DA3"/>
    <w:rsid w:val="00220EF2"/>
    <w:rsid w:val="002210D3"/>
    <w:rsid w:val="00221542"/>
    <w:rsid w:val="00222BCF"/>
    <w:rsid w:val="002236BE"/>
    <w:rsid w:val="00223B19"/>
    <w:rsid w:val="00223C35"/>
    <w:rsid w:val="00224844"/>
    <w:rsid w:val="00224905"/>
    <w:rsid w:val="00225FAB"/>
    <w:rsid w:val="00226018"/>
    <w:rsid w:val="0022629C"/>
    <w:rsid w:val="00226659"/>
    <w:rsid w:val="00227657"/>
    <w:rsid w:val="002278E8"/>
    <w:rsid w:val="002300DF"/>
    <w:rsid w:val="00230323"/>
    <w:rsid w:val="002304BE"/>
    <w:rsid w:val="0023076D"/>
    <w:rsid w:val="00230BD6"/>
    <w:rsid w:val="00230E31"/>
    <w:rsid w:val="00230EA5"/>
    <w:rsid w:val="00231391"/>
    <w:rsid w:val="00231EA7"/>
    <w:rsid w:val="002327CD"/>
    <w:rsid w:val="00232E85"/>
    <w:rsid w:val="00233DE4"/>
    <w:rsid w:val="00233F09"/>
    <w:rsid w:val="002340C0"/>
    <w:rsid w:val="002342EE"/>
    <w:rsid w:val="00235328"/>
    <w:rsid w:val="00235DA4"/>
    <w:rsid w:val="002360CD"/>
    <w:rsid w:val="00236734"/>
    <w:rsid w:val="00237802"/>
    <w:rsid w:val="00237DDE"/>
    <w:rsid w:val="00237EF2"/>
    <w:rsid w:val="00240B7B"/>
    <w:rsid w:val="00241674"/>
    <w:rsid w:val="0024272C"/>
    <w:rsid w:val="00242907"/>
    <w:rsid w:val="00242AD1"/>
    <w:rsid w:val="00244072"/>
    <w:rsid w:val="00244217"/>
    <w:rsid w:val="002445C4"/>
    <w:rsid w:val="00244833"/>
    <w:rsid w:val="00245493"/>
    <w:rsid w:val="002460AC"/>
    <w:rsid w:val="0024628C"/>
    <w:rsid w:val="0024657E"/>
    <w:rsid w:val="00246698"/>
    <w:rsid w:val="002467AA"/>
    <w:rsid w:val="00246C6E"/>
    <w:rsid w:val="00246D0A"/>
    <w:rsid w:val="00247311"/>
    <w:rsid w:val="0025017E"/>
    <w:rsid w:val="00250C0A"/>
    <w:rsid w:val="002514EA"/>
    <w:rsid w:val="00251E33"/>
    <w:rsid w:val="002523CD"/>
    <w:rsid w:val="00252872"/>
    <w:rsid w:val="00252CC2"/>
    <w:rsid w:val="00252D64"/>
    <w:rsid w:val="00253236"/>
    <w:rsid w:val="00253494"/>
    <w:rsid w:val="002536FF"/>
    <w:rsid w:val="002543DC"/>
    <w:rsid w:val="002547C0"/>
    <w:rsid w:val="0025484A"/>
    <w:rsid w:val="00254D1E"/>
    <w:rsid w:val="0025541B"/>
    <w:rsid w:val="00255B97"/>
    <w:rsid w:val="00255D48"/>
    <w:rsid w:val="0025601D"/>
    <w:rsid w:val="00256168"/>
    <w:rsid w:val="002573BB"/>
    <w:rsid w:val="00257677"/>
    <w:rsid w:val="00260FC0"/>
    <w:rsid w:val="00261636"/>
    <w:rsid w:val="00261A77"/>
    <w:rsid w:val="0026201A"/>
    <w:rsid w:val="0026232D"/>
    <w:rsid w:val="00262491"/>
    <w:rsid w:val="002636E0"/>
    <w:rsid w:val="00263C9D"/>
    <w:rsid w:val="00264047"/>
    <w:rsid w:val="00264E87"/>
    <w:rsid w:val="002657F0"/>
    <w:rsid w:val="00266E88"/>
    <w:rsid w:val="00266FAB"/>
    <w:rsid w:val="00267F01"/>
    <w:rsid w:val="0027026A"/>
    <w:rsid w:val="00270978"/>
    <w:rsid w:val="00270D20"/>
    <w:rsid w:val="00271496"/>
    <w:rsid w:val="002715B1"/>
    <w:rsid w:val="00271F13"/>
    <w:rsid w:val="002722D9"/>
    <w:rsid w:val="002729B5"/>
    <w:rsid w:val="00272CFE"/>
    <w:rsid w:val="00273B5D"/>
    <w:rsid w:val="00273DD4"/>
    <w:rsid w:val="0027429E"/>
    <w:rsid w:val="002748CB"/>
    <w:rsid w:val="00274EF8"/>
    <w:rsid w:val="002758B8"/>
    <w:rsid w:val="002765ED"/>
    <w:rsid w:val="00276B7B"/>
    <w:rsid w:val="0027733D"/>
    <w:rsid w:val="00277B5A"/>
    <w:rsid w:val="0028051F"/>
    <w:rsid w:val="0028068F"/>
    <w:rsid w:val="002811DC"/>
    <w:rsid w:val="0028164B"/>
    <w:rsid w:val="00281BBC"/>
    <w:rsid w:val="00282A1C"/>
    <w:rsid w:val="00282F69"/>
    <w:rsid w:val="00283450"/>
    <w:rsid w:val="002835AE"/>
    <w:rsid w:val="0028391C"/>
    <w:rsid w:val="00283B72"/>
    <w:rsid w:val="0028409D"/>
    <w:rsid w:val="0028432D"/>
    <w:rsid w:val="00284BC9"/>
    <w:rsid w:val="00284EE0"/>
    <w:rsid w:val="00285EF8"/>
    <w:rsid w:val="00286F68"/>
    <w:rsid w:val="002870CC"/>
    <w:rsid w:val="002871AC"/>
    <w:rsid w:val="002909C7"/>
    <w:rsid w:val="00290CB8"/>
    <w:rsid w:val="00290CF6"/>
    <w:rsid w:val="0029179F"/>
    <w:rsid w:val="002917AA"/>
    <w:rsid w:val="0029212F"/>
    <w:rsid w:val="002929DB"/>
    <w:rsid w:val="002934C1"/>
    <w:rsid w:val="00293E30"/>
    <w:rsid w:val="00295134"/>
    <w:rsid w:val="00295D65"/>
    <w:rsid w:val="0029608C"/>
    <w:rsid w:val="00296136"/>
    <w:rsid w:val="002961AA"/>
    <w:rsid w:val="0029722D"/>
    <w:rsid w:val="00297335"/>
    <w:rsid w:val="00297C3A"/>
    <w:rsid w:val="00297CE6"/>
    <w:rsid w:val="002A0DE2"/>
    <w:rsid w:val="002A26BE"/>
    <w:rsid w:val="002A2FC1"/>
    <w:rsid w:val="002A4124"/>
    <w:rsid w:val="002A451B"/>
    <w:rsid w:val="002A4AB1"/>
    <w:rsid w:val="002A4B6A"/>
    <w:rsid w:val="002A4CDA"/>
    <w:rsid w:val="002A55B0"/>
    <w:rsid w:val="002A5664"/>
    <w:rsid w:val="002A5AE2"/>
    <w:rsid w:val="002A6A2C"/>
    <w:rsid w:val="002A6BCA"/>
    <w:rsid w:val="002A6DAD"/>
    <w:rsid w:val="002B05AF"/>
    <w:rsid w:val="002B0775"/>
    <w:rsid w:val="002B07EB"/>
    <w:rsid w:val="002B0CD9"/>
    <w:rsid w:val="002B1CB8"/>
    <w:rsid w:val="002B20B4"/>
    <w:rsid w:val="002B25A4"/>
    <w:rsid w:val="002B273F"/>
    <w:rsid w:val="002B27A5"/>
    <w:rsid w:val="002B2F78"/>
    <w:rsid w:val="002B39F5"/>
    <w:rsid w:val="002B3FCA"/>
    <w:rsid w:val="002B45A8"/>
    <w:rsid w:val="002B4C59"/>
    <w:rsid w:val="002B59DE"/>
    <w:rsid w:val="002B6638"/>
    <w:rsid w:val="002B71A9"/>
    <w:rsid w:val="002B7234"/>
    <w:rsid w:val="002B725A"/>
    <w:rsid w:val="002B7D31"/>
    <w:rsid w:val="002C0050"/>
    <w:rsid w:val="002C1373"/>
    <w:rsid w:val="002C13F8"/>
    <w:rsid w:val="002C1CE0"/>
    <w:rsid w:val="002C1E06"/>
    <w:rsid w:val="002C1E81"/>
    <w:rsid w:val="002C23EE"/>
    <w:rsid w:val="002C2EA9"/>
    <w:rsid w:val="002C397F"/>
    <w:rsid w:val="002C4E56"/>
    <w:rsid w:val="002C56FF"/>
    <w:rsid w:val="002C57FE"/>
    <w:rsid w:val="002C5891"/>
    <w:rsid w:val="002C5B1B"/>
    <w:rsid w:val="002C67EF"/>
    <w:rsid w:val="002C720A"/>
    <w:rsid w:val="002C76E8"/>
    <w:rsid w:val="002C799D"/>
    <w:rsid w:val="002C7E46"/>
    <w:rsid w:val="002C7FC1"/>
    <w:rsid w:val="002D02D8"/>
    <w:rsid w:val="002D0681"/>
    <w:rsid w:val="002D115E"/>
    <w:rsid w:val="002D11DE"/>
    <w:rsid w:val="002D1EB2"/>
    <w:rsid w:val="002D23AD"/>
    <w:rsid w:val="002D26FF"/>
    <w:rsid w:val="002D2945"/>
    <w:rsid w:val="002D32C0"/>
    <w:rsid w:val="002D3A9A"/>
    <w:rsid w:val="002D3CC6"/>
    <w:rsid w:val="002D3FFE"/>
    <w:rsid w:val="002D433B"/>
    <w:rsid w:val="002D45E4"/>
    <w:rsid w:val="002D4B95"/>
    <w:rsid w:val="002D5878"/>
    <w:rsid w:val="002D5A7C"/>
    <w:rsid w:val="002D5FA5"/>
    <w:rsid w:val="002D668F"/>
    <w:rsid w:val="002D6E69"/>
    <w:rsid w:val="002D6FE0"/>
    <w:rsid w:val="002D71B0"/>
    <w:rsid w:val="002D7560"/>
    <w:rsid w:val="002D78A8"/>
    <w:rsid w:val="002D7CC2"/>
    <w:rsid w:val="002E074F"/>
    <w:rsid w:val="002E0A38"/>
    <w:rsid w:val="002E1703"/>
    <w:rsid w:val="002E1E5F"/>
    <w:rsid w:val="002E296A"/>
    <w:rsid w:val="002E3088"/>
    <w:rsid w:val="002E4196"/>
    <w:rsid w:val="002E4E5C"/>
    <w:rsid w:val="002E5051"/>
    <w:rsid w:val="002E5643"/>
    <w:rsid w:val="002E56E9"/>
    <w:rsid w:val="002E57CC"/>
    <w:rsid w:val="002E5C11"/>
    <w:rsid w:val="002E616F"/>
    <w:rsid w:val="002E61CE"/>
    <w:rsid w:val="002E62AE"/>
    <w:rsid w:val="002E648D"/>
    <w:rsid w:val="002E6F94"/>
    <w:rsid w:val="002E706B"/>
    <w:rsid w:val="002F03E0"/>
    <w:rsid w:val="002F0454"/>
    <w:rsid w:val="002F1EF5"/>
    <w:rsid w:val="002F3F85"/>
    <w:rsid w:val="002F412D"/>
    <w:rsid w:val="002F4475"/>
    <w:rsid w:val="002F5182"/>
    <w:rsid w:val="002F595F"/>
    <w:rsid w:val="002F5C9C"/>
    <w:rsid w:val="002F6F6A"/>
    <w:rsid w:val="002F79ED"/>
    <w:rsid w:val="002F7A9E"/>
    <w:rsid w:val="002F7C1B"/>
    <w:rsid w:val="003007F1"/>
    <w:rsid w:val="00300EBD"/>
    <w:rsid w:val="003014D8"/>
    <w:rsid w:val="00302279"/>
    <w:rsid w:val="003037CF"/>
    <w:rsid w:val="00303915"/>
    <w:rsid w:val="00303C6A"/>
    <w:rsid w:val="0030535A"/>
    <w:rsid w:val="00305836"/>
    <w:rsid w:val="00305957"/>
    <w:rsid w:val="00305B1C"/>
    <w:rsid w:val="00305C02"/>
    <w:rsid w:val="0030790D"/>
    <w:rsid w:val="00307D38"/>
    <w:rsid w:val="00307D78"/>
    <w:rsid w:val="0031001E"/>
    <w:rsid w:val="00310EB0"/>
    <w:rsid w:val="003111A1"/>
    <w:rsid w:val="00311656"/>
    <w:rsid w:val="00312448"/>
    <w:rsid w:val="0031384B"/>
    <w:rsid w:val="00313883"/>
    <w:rsid w:val="00313ECE"/>
    <w:rsid w:val="003143E2"/>
    <w:rsid w:val="003146AB"/>
    <w:rsid w:val="0031473D"/>
    <w:rsid w:val="00314AAF"/>
    <w:rsid w:val="003152DD"/>
    <w:rsid w:val="003165A8"/>
    <w:rsid w:val="00317637"/>
    <w:rsid w:val="00317FE6"/>
    <w:rsid w:val="0032017E"/>
    <w:rsid w:val="0032071B"/>
    <w:rsid w:val="00321A43"/>
    <w:rsid w:val="003221A4"/>
    <w:rsid w:val="003225D0"/>
    <w:rsid w:val="00323E40"/>
    <w:rsid w:val="003243E7"/>
    <w:rsid w:val="00325392"/>
    <w:rsid w:val="00325CBD"/>
    <w:rsid w:val="003265EC"/>
    <w:rsid w:val="003269E8"/>
    <w:rsid w:val="00327BE8"/>
    <w:rsid w:val="00330CA0"/>
    <w:rsid w:val="003315E6"/>
    <w:rsid w:val="00332AC3"/>
    <w:rsid w:val="00332D61"/>
    <w:rsid w:val="00332FE9"/>
    <w:rsid w:val="003336DA"/>
    <w:rsid w:val="003338A3"/>
    <w:rsid w:val="00334452"/>
    <w:rsid w:val="00334B11"/>
    <w:rsid w:val="00334C1C"/>
    <w:rsid w:val="00334E31"/>
    <w:rsid w:val="00335400"/>
    <w:rsid w:val="00335868"/>
    <w:rsid w:val="00335EF1"/>
    <w:rsid w:val="00337037"/>
    <w:rsid w:val="0033759C"/>
    <w:rsid w:val="00340AB2"/>
    <w:rsid w:val="00340B91"/>
    <w:rsid w:val="00340C4B"/>
    <w:rsid w:val="00340DF1"/>
    <w:rsid w:val="00341CFB"/>
    <w:rsid w:val="00341D9D"/>
    <w:rsid w:val="003420D4"/>
    <w:rsid w:val="003426EE"/>
    <w:rsid w:val="003427F9"/>
    <w:rsid w:val="00342B2B"/>
    <w:rsid w:val="00342C30"/>
    <w:rsid w:val="0034370A"/>
    <w:rsid w:val="00343966"/>
    <w:rsid w:val="00343A1B"/>
    <w:rsid w:val="00344265"/>
    <w:rsid w:val="003453CF"/>
    <w:rsid w:val="00345F6E"/>
    <w:rsid w:val="00346A6D"/>
    <w:rsid w:val="003478A8"/>
    <w:rsid w:val="00347C6D"/>
    <w:rsid w:val="003501AC"/>
    <w:rsid w:val="00350D04"/>
    <w:rsid w:val="00350DD8"/>
    <w:rsid w:val="00350F95"/>
    <w:rsid w:val="003518B0"/>
    <w:rsid w:val="0035282C"/>
    <w:rsid w:val="003528C4"/>
    <w:rsid w:val="00352969"/>
    <w:rsid w:val="003536A4"/>
    <w:rsid w:val="003542B6"/>
    <w:rsid w:val="003548D7"/>
    <w:rsid w:val="00356BBD"/>
    <w:rsid w:val="00356D85"/>
    <w:rsid w:val="00357CD2"/>
    <w:rsid w:val="003605A0"/>
    <w:rsid w:val="003607FD"/>
    <w:rsid w:val="003621C6"/>
    <w:rsid w:val="00362B9C"/>
    <w:rsid w:val="00362F79"/>
    <w:rsid w:val="0036341F"/>
    <w:rsid w:val="00363B33"/>
    <w:rsid w:val="00363E0D"/>
    <w:rsid w:val="00363F7B"/>
    <w:rsid w:val="00364218"/>
    <w:rsid w:val="0036479A"/>
    <w:rsid w:val="00364D7E"/>
    <w:rsid w:val="00365942"/>
    <w:rsid w:val="00365EB6"/>
    <w:rsid w:val="00366465"/>
    <w:rsid w:val="003670A8"/>
    <w:rsid w:val="0036710C"/>
    <w:rsid w:val="003700DA"/>
    <w:rsid w:val="00370227"/>
    <w:rsid w:val="00370819"/>
    <w:rsid w:val="003709B2"/>
    <w:rsid w:val="00370DCF"/>
    <w:rsid w:val="003711EE"/>
    <w:rsid w:val="00372298"/>
    <w:rsid w:val="0037301C"/>
    <w:rsid w:val="0037333F"/>
    <w:rsid w:val="00374460"/>
    <w:rsid w:val="00374B20"/>
    <w:rsid w:val="00374DFE"/>
    <w:rsid w:val="0037508D"/>
    <w:rsid w:val="00375B0C"/>
    <w:rsid w:val="00375F1F"/>
    <w:rsid w:val="00376809"/>
    <w:rsid w:val="00377076"/>
    <w:rsid w:val="00377D80"/>
    <w:rsid w:val="003800E5"/>
    <w:rsid w:val="00380753"/>
    <w:rsid w:val="00380923"/>
    <w:rsid w:val="003809C2"/>
    <w:rsid w:val="003814E0"/>
    <w:rsid w:val="00381AC6"/>
    <w:rsid w:val="00382790"/>
    <w:rsid w:val="00382AAA"/>
    <w:rsid w:val="00382AEA"/>
    <w:rsid w:val="00383240"/>
    <w:rsid w:val="003846CD"/>
    <w:rsid w:val="0038472D"/>
    <w:rsid w:val="00385634"/>
    <w:rsid w:val="00386758"/>
    <w:rsid w:val="00386CBC"/>
    <w:rsid w:val="003873FF"/>
    <w:rsid w:val="00387AAE"/>
    <w:rsid w:val="00390348"/>
    <w:rsid w:val="003904DA"/>
    <w:rsid w:val="003909A8"/>
    <w:rsid w:val="00390F93"/>
    <w:rsid w:val="00391043"/>
    <w:rsid w:val="00391152"/>
    <w:rsid w:val="00391E85"/>
    <w:rsid w:val="003939A7"/>
    <w:rsid w:val="00394444"/>
    <w:rsid w:val="003946EF"/>
    <w:rsid w:val="00396082"/>
    <w:rsid w:val="0039611F"/>
    <w:rsid w:val="00396C20"/>
    <w:rsid w:val="003A06CA"/>
    <w:rsid w:val="003A096F"/>
    <w:rsid w:val="003A10B5"/>
    <w:rsid w:val="003A3367"/>
    <w:rsid w:val="003A34CE"/>
    <w:rsid w:val="003A3C9C"/>
    <w:rsid w:val="003A42D7"/>
    <w:rsid w:val="003A5E9D"/>
    <w:rsid w:val="003A6439"/>
    <w:rsid w:val="003A76E0"/>
    <w:rsid w:val="003A7AFB"/>
    <w:rsid w:val="003B00F4"/>
    <w:rsid w:val="003B077A"/>
    <w:rsid w:val="003B0B56"/>
    <w:rsid w:val="003B28C4"/>
    <w:rsid w:val="003B2B5B"/>
    <w:rsid w:val="003B3D03"/>
    <w:rsid w:val="003B3E96"/>
    <w:rsid w:val="003B4081"/>
    <w:rsid w:val="003B43F4"/>
    <w:rsid w:val="003B43F6"/>
    <w:rsid w:val="003B4F22"/>
    <w:rsid w:val="003B568A"/>
    <w:rsid w:val="003B5AEF"/>
    <w:rsid w:val="003B69B2"/>
    <w:rsid w:val="003B7398"/>
    <w:rsid w:val="003B757A"/>
    <w:rsid w:val="003C02E1"/>
    <w:rsid w:val="003C16A1"/>
    <w:rsid w:val="003C205A"/>
    <w:rsid w:val="003C2AE4"/>
    <w:rsid w:val="003C2F8F"/>
    <w:rsid w:val="003C3096"/>
    <w:rsid w:val="003C3480"/>
    <w:rsid w:val="003C3512"/>
    <w:rsid w:val="003C3A38"/>
    <w:rsid w:val="003C4F57"/>
    <w:rsid w:val="003C518C"/>
    <w:rsid w:val="003C64F3"/>
    <w:rsid w:val="003C657D"/>
    <w:rsid w:val="003C6973"/>
    <w:rsid w:val="003C6F2F"/>
    <w:rsid w:val="003C7203"/>
    <w:rsid w:val="003C7291"/>
    <w:rsid w:val="003C7408"/>
    <w:rsid w:val="003C7A26"/>
    <w:rsid w:val="003D03D6"/>
    <w:rsid w:val="003D118F"/>
    <w:rsid w:val="003D1414"/>
    <w:rsid w:val="003D188F"/>
    <w:rsid w:val="003D1D62"/>
    <w:rsid w:val="003D1FDB"/>
    <w:rsid w:val="003D2140"/>
    <w:rsid w:val="003D214A"/>
    <w:rsid w:val="003D216F"/>
    <w:rsid w:val="003D247D"/>
    <w:rsid w:val="003D252E"/>
    <w:rsid w:val="003D285F"/>
    <w:rsid w:val="003D2996"/>
    <w:rsid w:val="003D3C26"/>
    <w:rsid w:val="003D3DFC"/>
    <w:rsid w:val="003D3E5F"/>
    <w:rsid w:val="003D4306"/>
    <w:rsid w:val="003D586A"/>
    <w:rsid w:val="003D5CAB"/>
    <w:rsid w:val="003D6027"/>
    <w:rsid w:val="003D6175"/>
    <w:rsid w:val="003D6ADD"/>
    <w:rsid w:val="003D6D43"/>
    <w:rsid w:val="003D6DFA"/>
    <w:rsid w:val="003D6F7C"/>
    <w:rsid w:val="003E0340"/>
    <w:rsid w:val="003E1736"/>
    <w:rsid w:val="003E2670"/>
    <w:rsid w:val="003E2CC7"/>
    <w:rsid w:val="003E3A6B"/>
    <w:rsid w:val="003E4722"/>
    <w:rsid w:val="003E4BCA"/>
    <w:rsid w:val="003E52AA"/>
    <w:rsid w:val="003E58AA"/>
    <w:rsid w:val="003E61D6"/>
    <w:rsid w:val="003E6C6B"/>
    <w:rsid w:val="003E6CF7"/>
    <w:rsid w:val="003E6D63"/>
    <w:rsid w:val="003E79DB"/>
    <w:rsid w:val="003E7D71"/>
    <w:rsid w:val="003F06E0"/>
    <w:rsid w:val="003F10CF"/>
    <w:rsid w:val="003F1370"/>
    <w:rsid w:val="003F2189"/>
    <w:rsid w:val="003F2584"/>
    <w:rsid w:val="003F25AB"/>
    <w:rsid w:val="003F2930"/>
    <w:rsid w:val="003F2B39"/>
    <w:rsid w:val="003F2B4F"/>
    <w:rsid w:val="003F3DC6"/>
    <w:rsid w:val="003F411D"/>
    <w:rsid w:val="003F45A2"/>
    <w:rsid w:val="003F47C2"/>
    <w:rsid w:val="003F4D20"/>
    <w:rsid w:val="003F5463"/>
    <w:rsid w:val="003F5525"/>
    <w:rsid w:val="003F5C3B"/>
    <w:rsid w:val="003F5E20"/>
    <w:rsid w:val="003F6363"/>
    <w:rsid w:val="003F6604"/>
    <w:rsid w:val="003F7219"/>
    <w:rsid w:val="003F7CAE"/>
    <w:rsid w:val="003F7FB0"/>
    <w:rsid w:val="00400112"/>
    <w:rsid w:val="00400441"/>
    <w:rsid w:val="0040065F"/>
    <w:rsid w:val="0040167F"/>
    <w:rsid w:val="00401F5E"/>
    <w:rsid w:val="0040210D"/>
    <w:rsid w:val="00402A80"/>
    <w:rsid w:val="00402CA6"/>
    <w:rsid w:val="00403CB2"/>
    <w:rsid w:val="004051A6"/>
    <w:rsid w:val="00405C96"/>
    <w:rsid w:val="00406095"/>
    <w:rsid w:val="004069BC"/>
    <w:rsid w:val="004070B2"/>
    <w:rsid w:val="00407A50"/>
    <w:rsid w:val="00407B8F"/>
    <w:rsid w:val="00410DA4"/>
    <w:rsid w:val="00411217"/>
    <w:rsid w:val="004117DB"/>
    <w:rsid w:val="004121F7"/>
    <w:rsid w:val="00412281"/>
    <w:rsid w:val="004123DE"/>
    <w:rsid w:val="00412B2C"/>
    <w:rsid w:val="004134DA"/>
    <w:rsid w:val="00413D35"/>
    <w:rsid w:val="004144E2"/>
    <w:rsid w:val="00414A2F"/>
    <w:rsid w:val="0041664F"/>
    <w:rsid w:val="00416D1D"/>
    <w:rsid w:val="004202CB"/>
    <w:rsid w:val="00421829"/>
    <w:rsid w:val="004224F2"/>
    <w:rsid w:val="00422943"/>
    <w:rsid w:val="00422AA2"/>
    <w:rsid w:val="00422AC1"/>
    <w:rsid w:val="00422AEF"/>
    <w:rsid w:val="00422F2D"/>
    <w:rsid w:val="00422F4A"/>
    <w:rsid w:val="004234DA"/>
    <w:rsid w:val="00424915"/>
    <w:rsid w:val="00424DA3"/>
    <w:rsid w:val="00425100"/>
    <w:rsid w:val="004252B7"/>
    <w:rsid w:val="0042539F"/>
    <w:rsid w:val="00425AEA"/>
    <w:rsid w:val="00425B49"/>
    <w:rsid w:val="00425F7B"/>
    <w:rsid w:val="004260C5"/>
    <w:rsid w:val="00426511"/>
    <w:rsid w:val="00426AFA"/>
    <w:rsid w:val="00427668"/>
    <w:rsid w:val="004279E4"/>
    <w:rsid w:val="00427B75"/>
    <w:rsid w:val="00430C22"/>
    <w:rsid w:val="00430C5D"/>
    <w:rsid w:val="004323A3"/>
    <w:rsid w:val="0043252F"/>
    <w:rsid w:val="00432960"/>
    <w:rsid w:val="00432C48"/>
    <w:rsid w:val="00432FA1"/>
    <w:rsid w:val="0043480D"/>
    <w:rsid w:val="00434CE1"/>
    <w:rsid w:val="00434F21"/>
    <w:rsid w:val="004350F1"/>
    <w:rsid w:val="00435181"/>
    <w:rsid w:val="00435E49"/>
    <w:rsid w:val="00436DCD"/>
    <w:rsid w:val="004371C5"/>
    <w:rsid w:val="0043746B"/>
    <w:rsid w:val="004375D2"/>
    <w:rsid w:val="00440B48"/>
    <w:rsid w:val="00441995"/>
    <w:rsid w:val="00441AB6"/>
    <w:rsid w:val="00441ADD"/>
    <w:rsid w:val="00441B06"/>
    <w:rsid w:val="00441CE5"/>
    <w:rsid w:val="00443529"/>
    <w:rsid w:val="00443F8E"/>
    <w:rsid w:val="004442DA"/>
    <w:rsid w:val="00444300"/>
    <w:rsid w:val="0044463C"/>
    <w:rsid w:val="004447B7"/>
    <w:rsid w:val="004447ED"/>
    <w:rsid w:val="00444E9C"/>
    <w:rsid w:val="0044512D"/>
    <w:rsid w:val="004451F4"/>
    <w:rsid w:val="00445581"/>
    <w:rsid w:val="00445BA5"/>
    <w:rsid w:val="00445F3F"/>
    <w:rsid w:val="00446578"/>
    <w:rsid w:val="00446742"/>
    <w:rsid w:val="00446A03"/>
    <w:rsid w:val="00446C58"/>
    <w:rsid w:val="004470AD"/>
    <w:rsid w:val="00447DED"/>
    <w:rsid w:val="00450001"/>
    <w:rsid w:val="00450ECF"/>
    <w:rsid w:val="004515CB"/>
    <w:rsid w:val="00451BFE"/>
    <w:rsid w:val="00451EF5"/>
    <w:rsid w:val="00452335"/>
    <w:rsid w:val="004525C7"/>
    <w:rsid w:val="004525FF"/>
    <w:rsid w:val="00453163"/>
    <w:rsid w:val="0045375C"/>
    <w:rsid w:val="00453F2F"/>
    <w:rsid w:val="00454084"/>
    <w:rsid w:val="00455812"/>
    <w:rsid w:val="00455B49"/>
    <w:rsid w:val="0045638E"/>
    <w:rsid w:val="004570EE"/>
    <w:rsid w:val="0045777F"/>
    <w:rsid w:val="00457F56"/>
    <w:rsid w:val="00460F0E"/>
    <w:rsid w:val="004625DD"/>
    <w:rsid w:val="00462803"/>
    <w:rsid w:val="00462CEB"/>
    <w:rsid w:val="0046315F"/>
    <w:rsid w:val="004639F2"/>
    <w:rsid w:val="00463CA0"/>
    <w:rsid w:val="00464584"/>
    <w:rsid w:val="004649E3"/>
    <w:rsid w:val="00464E5B"/>
    <w:rsid w:val="0046585F"/>
    <w:rsid w:val="004659EE"/>
    <w:rsid w:val="004660F4"/>
    <w:rsid w:val="00466A7B"/>
    <w:rsid w:val="00466ED1"/>
    <w:rsid w:val="00467C6F"/>
    <w:rsid w:val="00467EF7"/>
    <w:rsid w:val="0047006A"/>
    <w:rsid w:val="0047055B"/>
    <w:rsid w:val="004707D8"/>
    <w:rsid w:val="004710BE"/>
    <w:rsid w:val="00471BDD"/>
    <w:rsid w:val="0047208B"/>
    <w:rsid w:val="004720CA"/>
    <w:rsid w:val="0047229E"/>
    <w:rsid w:val="0047318B"/>
    <w:rsid w:val="0047379F"/>
    <w:rsid w:val="004737CB"/>
    <w:rsid w:val="00473E7C"/>
    <w:rsid w:val="0047451F"/>
    <w:rsid w:val="004745FB"/>
    <w:rsid w:val="00474953"/>
    <w:rsid w:val="00474B4F"/>
    <w:rsid w:val="00474D5A"/>
    <w:rsid w:val="00474F29"/>
    <w:rsid w:val="004751A9"/>
    <w:rsid w:val="004759FC"/>
    <w:rsid w:val="00475F26"/>
    <w:rsid w:val="00475F97"/>
    <w:rsid w:val="004763C0"/>
    <w:rsid w:val="004768F8"/>
    <w:rsid w:val="00477F56"/>
    <w:rsid w:val="004806F7"/>
    <w:rsid w:val="00480A6E"/>
    <w:rsid w:val="00480CD3"/>
    <w:rsid w:val="00481AB4"/>
    <w:rsid w:val="00481EBD"/>
    <w:rsid w:val="00482108"/>
    <w:rsid w:val="004822A3"/>
    <w:rsid w:val="004823F5"/>
    <w:rsid w:val="0048327A"/>
    <w:rsid w:val="00483645"/>
    <w:rsid w:val="00483A6C"/>
    <w:rsid w:val="00483A9E"/>
    <w:rsid w:val="0048412C"/>
    <w:rsid w:val="00485680"/>
    <w:rsid w:val="00485C75"/>
    <w:rsid w:val="0048672A"/>
    <w:rsid w:val="0048692F"/>
    <w:rsid w:val="00487671"/>
    <w:rsid w:val="00490071"/>
    <w:rsid w:val="0049069B"/>
    <w:rsid w:val="004907F7"/>
    <w:rsid w:val="00492237"/>
    <w:rsid w:val="00492C26"/>
    <w:rsid w:val="00492D14"/>
    <w:rsid w:val="004945A2"/>
    <w:rsid w:val="0049487C"/>
    <w:rsid w:val="004949D2"/>
    <w:rsid w:val="00494C83"/>
    <w:rsid w:val="00497505"/>
    <w:rsid w:val="004A0487"/>
    <w:rsid w:val="004A0A3C"/>
    <w:rsid w:val="004A0C72"/>
    <w:rsid w:val="004A1461"/>
    <w:rsid w:val="004A14CA"/>
    <w:rsid w:val="004A17CE"/>
    <w:rsid w:val="004A22BC"/>
    <w:rsid w:val="004A26FC"/>
    <w:rsid w:val="004A2899"/>
    <w:rsid w:val="004A3AA6"/>
    <w:rsid w:val="004A4735"/>
    <w:rsid w:val="004A4738"/>
    <w:rsid w:val="004A48F5"/>
    <w:rsid w:val="004A4DE2"/>
    <w:rsid w:val="004A50BB"/>
    <w:rsid w:val="004A5DF6"/>
    <w:rsid w:val="004A66F7"/>
    <w:rsid w:val="004A69A4"/>
    <w:rsid w:val="004A69C9"/>
    <w:rsid w:val="004A6A94"/>
    <w:rsid w:val="004A6E6B"/>
    <w:rsid w:val="004A77D4"/>
    <w:rsid w:val="004A7806"/>
    <w:rsid w:val="004B0105"/>
    <w:rsid w:val="004B0145"/>
    <w:rsid w:val="004B037C"/>
    <w:rsid w:val="004B0BBD"/>
    <w:rsid w:val="004B10E9"/>
    <w:rsid w:val="004B13A8"/>
    <w:rsid w:val="004B1A2D"/>
    <w:rsid w:val="004B1B42"/>
    <w:rsid w:val="004B1B94"/>
    <w:rsid w:val="004B272C"/>
    <w:rsid w:val="004B2D50"/>
    <w:rsid w:val="004B2D5F"/>
    <w:rsid w:val="004B34DD"/>
    <w:rsid w:val="004B3FD4"/>
    <w:rsid w:val="004B411C"/>
    <w:rsid w:val="004B4C4E"/>
    <w:rsid w:val="004B5C50"/>
    <w:rsid w:val="004B6384"/>
    <w:rsid w:val="004B64E7"/>
    <w:rsid w:val="004B6BA4"/>
    <w:rsid w:val="004B730B"/>
    <w:rsid w:val="004B7B46"/>
    <w:rsid w:val="004B7F84"/>
    <w:rsid w:val="004C0482"/>
    <w:rsid w:val="004C0949"/>
    <w:rsid w:val="004C1D0D"/>
    <w:rsid w:val="004C2782"/>
    <w:rsid w:val="004C2F31"/>
    <w:rsid w:val="004C36E6"/>
    <w:rsid w:val="004C41F7"/>
    <w:rsid w:val="004C422A"/>
    <w:rsid w:val="004C4707"/>
    <w:rsid w:val="004C4A09"/>
    <w:rsid w:val="004C4BEB"/>
    <w:rsid w:val="004C57FE"/>
    <w:rsid w:val="004C63D5"/>
    <w:rsid w:val="004C6573"/>
    <w:rsid w:val="004C6952"/>
    <w:rsid w:val="004C75E4"/>
    <w:rsid w:val="004D0389"/>
    <w:rsid w:val="004D0417"/>
    <w:rsid w:val="004D043C"/>
    <w:rsid w:val="004D0E97"/>
    <w:rsid w:val="004D102E"/>
    <w:rsid w:val="004D109F"/>
    <w:rsid w:val="004D119E"/>
    <w:rsid w:val="004D1B1F"/>
    <w:rsid w:val="004D1D24"/>
    <w:rsid w:val="004D1ED5"/>
    <w:rsid w:val="004D21F6"/>
    <w:rsid w:val="004D23CF"/>
    <w:rsid w:val="004D2DD7"/>
    <w:rsid w:val="004D30AC"/>
    <w:rsid w:val="004D3889"/>
    <w:rsid w:val="004D3944"/>
    <w:rsid w:val="004D4ACB"/>
    <w:rsid w:val="004D4CCA"/>
    <w:rsid w:val="004D4D06"/>
    <w:rsid w:val="004D587B"/>
    <w:rsid w:val="004D6C03"/>
    <w:rsid w:val="004E0682"/>
    <w:rsid w:val="004E124F"/>
    <w:rsid w:val="004E3948"/>
    <w:rsid w:val="004E43D2"/>
    <w:rsid w:val="004E556E"/>
    <w:rsid w:val="004E58A0"/>
    <w:rsid w:val="004E5937"/>
    <w:rsid w:val="004E6182"/>
    <w:rsid w:val="004E7A73"/>
    <w:rsid w:val="004F15C7"/>
    <w:rsid w:val="004F175B"/>
    <w:rsid w:val="004F2034"/>
    <w:rsid w:val="004F2647"/>
    <w:rsid w:val="004F2E56"/>
    <w:rsid w:val="004F355B"/>
    <w:rsid w:val="004F3582"/>
    <w:rsid w:val="004F3926"/>
    <w:rsid w:val="004F42AF"/>
    <w:rsid w:val="004F4F2F"/>
    <w:rsid w:val="004F5017"/>
    <w:rsid w:val="004F5A47"/>
    <w:rsid w:val="004F5D62"/>
    <w:rsid w:val="004F60D6"/>
    <w:rsid w:val="004F60F3"/>
    <w:rsid w:val="004F6513"/>
    <w:rsid w:val="004F65DB"/>
    <w:rsid w:val="004F66BD"/>
    <w:rsid w:val="004F6BF5"/>
    <w:rsid w:val="00500132"/>
    <w:rsid w:val="0050081C"/>
    <w:rsid w:val="00500ED6"/>
    <w:rsid w:val="00501132"/>
    <w:rsid w:val="00501729"/>
    <w:rsid w:val="00502197"/>
    <w:rsid w:val="005025C6"/>
    <w:rsid w:val="00502A01"/>
    <w:rsid w:val="0050399E"/>
    <w:rsid w:val="00503A7C"/>
    <w:rsid w:val="00503B50"/>
    <w:rsid w:val="00505302"/>
    <w:rsid w:val="005059EF"/>
    <w:rsid w:val="00505F3C"/>
    <w:rsid w:val="00506B88"/>
    <w:rsid w:val="00507BC0"/>
    <w:rsid w:val="00507D29"/>
    <w:rsid w:val="00507D71"/>
    <w:rsid w:val="00507E3C"/>
    <w:rsid w:val="00507F4B"/>
    <w:rsid w:val="0051090B"/>
    <w:rsid w:val="00510A1A"/>
    <w:rsid w:val="00510C02"/>
    <w:rsid w:val="00511272"/>
    <w:rsid w:val="005114B9"/>
    <w:rsid w:val="00511B2B"/>
    <w:rsid w:val="0051229E"/>
    <w:rsid w:val="005122F0"/>
    <w:rsid w:val="005135B7"/>
    <w:rsid w:val="00513D38"/>
    <w:rsid w:val="00514A99"/>
    <w:rsid w:val="00514DA1"/>
    <w:rsid w:val="0051583A"/>
    <w:rsid w:val="00515FC5"/>
    <w:rsid w:val="0051671F"/>
    <w:rsid w:val="005167D9"/>
    <w:rsid w:val="00517073"/>
    <w:rsid w:val="00517A9A"/>
    <w:rsid w:val="005201C2"/>
    <w:rsid w:val="005202AF"/>
    <w:rsid w:val="00520589"/>
    <w:rsid w:val="0052106F"/>
    <w:rsid w:val="00521C2A"/>
    <w:rsid w:val="00522FBD"/>
    <w:rsid w:val="0052310D"/>
    <w:rsid w:val="0052333C"/>
    <w:rsid w:val="00523AA9"/>
    <w:rsid w:val="00524014"/>
    <w:rsid w:val="00524EAB"/>
    <w:rsid w:val="00525681"/>
    <w:rsid w:val="00526094"/>
    <w:rsid w:val="00526866"/>
    <w:rsid w:val="00527A66"/>
    <w:rsid w:val="0053088D"/>
    <w:rsid w:val="00531AB8"/>
    <w:rsid w:val="0053222E"/>
    <w:rsid w:val="00532CA7"/>
    <w:rsid w:val="00532D5B"/>
    <w:rsid w:val="0053355C"/>
    <w:rsid w:val="00533A12"/>
    <w:rsid w:val="00533BD4"/>
    <w:rsid w:val="005344D4"/>
    <w:rsid w:val="00535017"/>
    <w:rsid w:val="00535339"/>
    <w:rsid w:val="005353FA"/>
    <w:rsid w:val="00536456"/>
    <w:rsid w:val="0053649D"/>
    <w:rsid w:val="00536B5D"/>
    <w:rsid w:val="00536CB6"/>
    <w:rsid w:val="005378C2"/>
    <w:rsid w:val="00537CB8"/>
    <w:rsid w:val="00537D39"/>
    <w:rsid w:val="005416C6"/>
    <w:rsid w:val="00541C74"/>
    <w:rsid w:val="005428FC"/>
    <w:rsid w:val="00544A22"/>
    <w:rsid w:val="005454E7"/>
    <w:rsid w:val="00545BA0"/>
    <w:rsid w:val="00545CA5"/>
    <w:rsid w:val="005463C9"/>
    <w:rsid w:val="00550C1F"/>
    <w:rsid w:val="00550CF2"/>
    <w:rsid w:val="00551256"/>
    <w:rsid w:val="0055125F"/>
    <w:rsid w:val="005514B3"/>
    <w:rsid w:val="00551A5F"/>
    <w:rsid w:val="00551ADA"/>
    <w:rsid w:val="00551C95"/>
    <w:rsid w:val="0055277C"/>
    <w:rsid w:val="00552BA3"/>
    <w:rsid w:val="00553825"/>
    <w:rsid w:val="00553ED5"/>
    <w:rsid w:val="005543C0"/>
    <w:rsid w:val="00554B32"/>
    <w:rsid w:val="0055557E"/>
    <w:rsid w:val="00555DEE"/>
    <w:rsid w:val="005569A0"/>
    <w:rsid w:val="00557449"/>
    <w:rsid w:val="005577FD"/>
    <w:rsid w:val="00557C29"/>
    <w:rsid w:val="00560C43"/>
    <w:rsid w:val="005611ED"/>
    <w:rsid w:val="00561C16"/>
    <w:rsid w:val="005626BA"/>
    <w:rsid w:val="00562AD2"/>
    <w:rsid w:val="00563C5A"/>
    <w:rsid w:val="005645EE"/>
    <w:rsid w:val="00564AC1"/>
    <w:rsid w:val="00564DAA"/>
    <w:rsid w:val="00565E09"/>
    <w:rsid w:val="00566067"/>
    <w:rsid w:val="00566278"/>
    <w:rsid w:val="00566989"/>
    <w:rsid w:val="005669B4"/>
    <w:rsid w:val="005712BF"/>
    <w:rsid w:val="0057139B"/>
    <w:rsid w:val="00571AA8"/>
    <w:rsid w:val="0057200D"/>
    <w:rsid w:val="005727C4"/>
    <w:rsid w:val="0057282A"/>
    <w:rsid w:val="00572D22"/>
    <w:rsid w:val="005739E5"/>
    <w:rsid w:val="00573C33"/>
    <w:rsid w:val="00574021"/>
    <w:rsid w:val="005751A2"/>
    <w:rsid w:val="005755C6"/>
    <w:rsid w:val="0057588A"/>
    <w:rsid w:val="00575B2F"/>
    <w:rsid w:val="00575B87"/>
    <w:rsid w:val="00575F25"/>
    <w:rsid w:val="00576152"/>
    <w:rsid w:val="0057639C"/>
    <w:rsid w:val="0057642E"/>
    <w:rsid w:val="005764B5"/>
    <w:rsid w:val="00576F5E"/>
    <w:rsid w:val="00576FD4"/>
    <w:rsid w:val="0058153E"/>
    <w:rsid w:val="0058182B"/>
    <w:rsid w:val="00581F54"/>
    <w:rsid w:val="005825A2"/>
    <w:rsid w:val="00582FAF"/>
    <w:rsid w:val="00583683"/>
    <w:rsid w:val="005836A7"/>
    <w:rsid w:val="0058380E"/>
    <w:rsid w:val="00583CC7"/>
    <w:rsid w:val="00584B0D"/>
    <w:rsid w:val="00584C9F"/>
    <w:rsid w:val="005853B7"/>
    <w:rsid w:val="005861B2"/>
    <w:rsid w:val="005869AC"/>
    <w:rsid w:val="00586E44"/>
    <w:rsid w:val="00587280"/>
    <w:rsid w:val="005900A5"/>
    <w:rsid w:val="00590688"/>
    <w:rsid w:val="00590F8B"/>
    <w:rsid w:val="00591E9D"/>
    <w:rsid w:val="00592110"/>
    <w:rsid w:val="005921D4"/>
    <w:rsid w:val="00592D63"/>
    <w:rsid w:val="005931CE"/>
    <w:rsid w:val="00594823"/>
    <w:rsid w:val="00594A7E"/>
    <w:rsid w:val="005959D6"/>
    <w:rsid w:val="0059776A"/>
    <w:rsid w:val="00597920"/>
    <w:rsid w:val="00597C56"/>
    <w:rsid w:val="005A0037"/>
    <w:rsid w:val="005A040D"/>
    <w:rsid w:val="005A0A3C"/>
    <w:rsid w:val="005A0B00"/>
    <w:rsid w:val="005A1B18"/>
    <w:rsid w:val="005A2275"/>
    <w:rsid w:val="005A3202"/>
    <w:rsid w:val="005A3EED"/>
    <w:rsid w:val="005A42A3"/>
    <w:rsid w:val="005A4403"/>
    <w:rsid w:val="005A4AD2"/>
    <w:rsid w:val="005A4BE5"/>
    <w:rsid w:val="005A5552"/>
    <w:rsid w:val="005A5A08"/>
    <w:rsid w:val="005A5A9F"/>
    <w:rsid w:val="005A5EED"/>
    <w:rsid w:val="005A688F"/>
    <w:rsid w:val="005A773C"/>
    <w:rsid w:val="005B0143"/>
    <w:rsid w:val="005B0907"/>
    <w:rsid w:val="005B1178"/>
    <w:rsid w:val="005B129C"/>
    <w:rsid w:val="005B1F4B"/>
    <w:rsid w:val="005B2366"/>
    <w:rsid w:val="005B25F1"/>
    <w:rsid w:val="005B2E30"/>
    <w:rsid w:val="005B3684"/>
    <w:rsid w:val="005B3703"/>
    <w:rsid w:val="005B4928"/>
    <w:rsid w:val="005B4A00"/>
    <w:rsid w:val="005B51A3"/>
    <w:rsid w:val="005B6351"/>
    <w:rsid w:val="005B7086"/>
    <w:rsid w:val="005B7420"/>
    <w:rsid w:val="005C010F"/>
    <w:rsid w:val="005C04B4"/>
    <w:rsid w:val="005C0AAB"/>
    <w:rsid w:val="005C1D23"/>
    <w:rsid w:val="005C24FA"/>
    <w:rsid w:val="005C2FFE"/>
    <w:rsid w:val="005C3E38"/>
    <w:rsid w:val="005C3F68"/>
    <w:rsid w:val="005C3F77"/>
    <w:rsid w:val="005C413F"/>
    <w:rsid w:val="005C4B44"/>
    <w:rsid w:val="005C4D1D"/>
    <w:rsid w:val="005C66FF"/>
    <w:rsid w:val="005C79E4"/>
    <w:rsid w:val="005D025E"/>
    <w:rsid w:val="005D08DF"/>
    <w:rsid w:val="005D1E14"/>
    <w:rsid w:val="005D21DD"/>
    <w:rsid w:val="005D2216"/>
    <w:rsid w:val="005D2F96"/>
    <w:rsid w:val="005D3569"/>
    <w:rsid w:val="005D39A8"/>
    <w:rsid w:val="005D4B57"/>
    <w:rsid w:val="005D507F"/>
    <w:rsid w:val="005D51A5"/>
    <w:rsid w:val="005D5B5A"/>
    <w:rsid w:val="005D5E89"/>
    <w:rsid w:val="005D6937"/>
    <w:rsid w:val="005D6EF7"/>
    <w:rsid w:val="005D7AED"/>
    <w:rsid w:val="005E1B15"/>
    <w:rsid w:val="005E1BE0"/>
    <w:rsid w:val="005E211C"/>
    <w:rsid w:val="005E2B3B"/>
    <w:rsid w:val="005E2CD5"/>
    <w:rsid w:val="005E34F6"/>
    <w:rsid w:val="005E4142"/>
    <w:rsid w:val="005E46E0"/>
    <w:rsid w:val="005E4DBA"/>
    <w:rsid w:val="005E5532"/>
    <w:rsid w:val="005E56B1"/>
    <w:rsid w:val="005E63EF"/>
    <w:rsid w:val="005E684D"/>
    <w:rsid w:val="005E7480"/>
    <w:rsid w:val="005E7813"/>
    <w:rsid w:val="005E7B75"/>
    <w:rsid w:val="005F06C0"/>
    <w:rsid w:val="005F0C58"/>
    <w:rsid w:val="005F1C5F"/>
    <w:rsid w:val="005F1CAB"/>
    <w:rsid w:val="005F1E6D"/>
    <w:rsid w:val="005F2087"/>
    <w:rsid w:val="005F2C38"/>
    <w:rsid w:val="005F2C47"/>
    <w:rsid w:val="005F2ED0"/>
    <w:rsid w:val="005F30B3"/>
    <w:rsid w:val="005F36EA"/>
    <w:rsid w:val="005F3F2C"/>
    <w:rsid w:val="005F4117"/>
    <w:rsid w:val="005F4133"/>
    <w:rsid w:val="005F53FA"/>
    <w:rsid w:val="005F60BC"/>
    <w:rsid w:val="006008C5"/>
    <w:rsid w:val="00600B56"/>
    <w:rsid w:val="00600CEC"/>
    <w:rsid w:val="00601314"/>
    <w:rsid w:val="00601893"/>
    <w:rsid w:val="00601C8D"/>
    <w:rsid w:val="00602330"/>
    <w:rsid w:val="0060261C"/>
    <w:rsid w:val="0060262A"/>
    <w:rsid w:val="0060299E"/>
    <w:rsid w:val="00602A28"/>
    <w:rsid w:val="00602C74"/>
    <w:rsid w:val="00603F64"/>
    <w:rsid w:val="00603FD8"/>
    <w:rsid w:val="006045C3"/>
    <w:rsid w:val="00605234"/>
    <w:rsid w:val="0060535C"/>
    <w:rsid w:val="006059A7"/>
    <w:rsid w:val="006060C0"/>
    <w:rsid w:val="00606544"/>
    <w:rsid w:val="006066AF"/>
    <w:rsid w:val="006067C2"/>
    <w:rsid w:val="00606A48"/>
    <w:rsid w:val="00610946"/>
    <w:rsid w:val="006113F4"/>
    <w:rsid w:val="00611D74"/>
    <w:rsid w:val="00611F2C"/>
    <w:rsid w:val="006127A4"/>
    <w:rsid w:val="00612E01"/>
    <w:rsid w:val="0061410C"/>
    <w:rsid w:val="00614642"/>
    <w:rsid w:val="006159C3"/>
    <w:rsid w:val="0061640D"/>
    <w:rsid w:val="006169B5"/>
    <w:rsid w:val="00617037"/>
    <w:rsid w:val="006175F7"/>
    <w:rsid w:val="006179BF"/>
    <w:rsid w:val="00617A43"/>
    <w:rsid w:val="006204EB"/>
    <w:rsid w:val="006206DC"/>
    <w:rsid w:val="00620E6F"/>
    <w:rsid w:val="00621247"/>
    <w:rsid w:val="0062201B"/>
    <w:rsid w:val="00622110"/>
    <w:rsid w:val="0062260E"/>
    <w:rsid w:val="00622858"/>
    <w:rsid w:val="00622AE9"/>
    <w:rsid w:val="00622BD3"/>
    <w:rsid w:val="00622E69"/>
    <w:rsid w:val="00622FD8"/>
    <w:rsid w:val="00623057"/>
    <w:rsid w:val="0062376F"/>
    <w:rsid w:val="00623796"/>
    <w:rsid w:val="00623E5C"/>
    <w:rsid w:val="006242C9"/>
    <w:rsid w:val="0062499B"/>
    <w:rsid w:val="006254D9"/>
    <w:rsid w:val="00625A4E"/>
    <w:rsid w:val="006266F8"/>
    <w:rsid w:val="00626978"/>
    <w:rsid w:val="00626ECB"/>
    <w:rsid w:val="0062739A"/>
    <w:rsid w:val="00627540"/>
    <w:rsid w:val="00630151"/>
    <w:rsid w:val="0063053E"/>
    <w:rsid w:val="00631528"/>
    <w:rsid w:val="00632C8E"/>
    <w:rsid w:val="00632CA4"/>
    <w:rsid w:val="00632FE1"/>
    <w:rsid w:val="00633105"/>
    <w:rsid w:val="00634CEA"/>
    <w:rsid w:val="00635289"/>
    <w:rsid w:val="0063607C"/>
    <w:rsid w:val="00637CAB"/>
    <w:rsid w:val="00637FCE"/>
    <w:rsid w:val="006405AA"/>
    <w:rsid w:val="00641199"/>
    <w:rsid w:val="006414F3"/>
    <w:rsid w:val="00641D03"/>
    <w:rsid w:val="006421DE"/>
    <w:rsid w:val="006425E9"/>
    <w:rsid w:val="00642A7F"/>
    <w:rsid w:val="00643571"/>
    <w:rsid w:val="00643973"/>
    <w:rsid w:val="00644100"/>
    <w:rsid w:val="00644191"/>
    <w:rsid w:val="0064624B"/>
    <w:rsid w:val="0064660B"/>
    <w:rsid w:val="00646A12"/>
    <w:rsid w:val="006503D3"/>
    <w:rsid w:val="00650F01"/>
    <w:rsid w:val="00651810"/>
    <w:rsid w:val="00651ADD"/>
    <w:rsid w:val="00651B89"/>
    <w:rsid w:val="00651DA2"/>
    <w:rsid w:val="00651DD5"/>
    <w:rsid w:val="00651E13"/>
    <w:rsid w:val="006521CF"/>
    <w:rsid w:val="006525E7"/>
    <w:rsid w:val="00653EF1"/>
    <w:rsid w:val="00654356"/>
    <w:rsid w:val="0065485D"/>
    <w:rsid w:val="006548BD"/>
    <w:rsid w:val="00655752"/>
    <w:rsid w:val="00655FFA"/>
    <w:rsid w:val="00656441"/>
    <w:rsid w:val="00656820"/>
    <w:rsid w:val="006569C3"/>
    <w:rsid w:val="006569D1"/>
    <w:rsid w:val="00656B37"/>
    <w:rsid w:val="00657023"/>
    <w:rsid w:val="0065735C"/>
    <w:rsid w:val="0066051E"/>
    <w:rsid w:val="00661734"/>
    <w:rsid w:val="006620F0"/>
    <w:rsid w:val="0066356A"/>
    <w:rsid w:val="00663752"/>
    <w:rsid w:val="006638FF"/>
    <w:rsid w:val="00663BA6"/>
    <w:rsid w:val="0066426D"/>
    <w:rsid w:val="00664A52"/>
    <w:rsid w:val="00664AE0"/>
    <w:rsid w:val="00664E84"/>
    <w:rsid w:val="0066548B"/>
    <w:rsid w:val="00665629"/>
    <w:rsid w:val="006662A1"/>
    <w:rsid w:val="006666A7"/>
    <w:rsid w:val="006666F6"/>
    <w:rsid w:val="00667172"/>
    <w:rsid w:val="00667739"/>
    <w:rsid w:val="00667A81"/>
    <w:rsid w:val="0067069E"/>
    <w:rsid w:val="006708FC"/>
    <w:rsid w:val="00671C95"/>
    <w:rsid w:val="006727CA"/>
    <w:rsid w:val="006735FB"/>
    <w:rsid w:val="00674346"/>
    <w:rsid w:val="006748DB"/>
    <w:rsid w:val="006757C1"/>
    <w:rsid w:val="00675802"/>
    <w:rsid w:val="0067593D"/>
    <w:rsid w:val="00675AB4"/>
    <w:rsid w:val="00676112"/>
    <w:rsid w:val="00676F27"/>
    <w:rsid w:val="00677A57"/>
    <w:rsid w:val="00677E43"/>
    <w:rsid w:val="00677FAA"/>
    <w:rsid w:val="0068013C"/>
    <w:rsid w:val="006803E7"/>
    <w:rsid w:val="00680577"/>
    <w:rsid w:val="00682293"/>
    <w:rsid w:val="00683434"/>
    <w:rsid w:val="0068375A"/>
    <w:rsid w:val="00683DFE"/>
    <w:rsid w:val="006840AE"/>
    <w:rsid w:val="006850E4"/>
    <w:rsid w:val="0068534E"/>
    <w:rsid w:val="00685CE3"/>
    <w:rsid w:val="00685E59"/>
    <w:rsid w:val="0068632C"/>
    <w:rsid w:val="006864D1"/>
    <w:rsid w:val="00686659"/>
    <w:rsid w:val="0068710A"/>
    <w:rsid w:val="006871B0"/>
    <w:rsid w:val="00687C6B"/>
    <w:rsid w:val="006906BE"/>
    <w:rsid w:val="00690C7C"/>
    <w:rsid w:val="00691093"/>
    <w:rsid w:val="006913C4"/>
    <w:rsid w:val="00691487"/>
    <w:rsid w:val="00691FB5"/>
    <w:rsid w:val="006922D9"/>
    <w:rsid w:val="0069257F"/>
    <w:rsid w:val="0069351F"/>
    <w:rsid w:val="00693E51"/>
    <w:rsid w:val="0069426D"/>
    <w:rsid w:val="006954EA"/>
    <w:rsid w:val="006955E8"/>
    <w:rsid w:val="006958F3"/>
    <w:rsid w:val="00696A35"/>
    <w:rsid w:val="00697E23"/>
    <w:rsid w:val="006A02C6"/>
    <w:rsid w:val="006A0452"/>
    <w:rsid w:val="006A0F90"/>
    <w:rsid w:val="006A14DB"/>
    <w:rsid w:val="006A1719"/>
    <w:rsid w:val="006A17D3"/>
    <w:rsid w:val="006A1840"/>
    <w:rsid w:val="006A1917"/>
    <w:rsid w:val="006A1BA8"/>
    <w:rsid w:val="006A21B9"/>
    <w:rsid w:val="006A21E5"/>
    <w:rsid w:val="006A22E4"/>
    <w:rsid w:val="006A2A52"/>
    <w:rsid w:val="006A3E18"/>
    <w:rsid w:val="006A3E69"/>
    <w:rsid w:val="006A3E98"/>
    <w:rsid w:val="006A564C"/>
    <w:rsid w:val="006A5F07"/>
    <w:rsid w:val="006A618A"/>
    <w:rsid w:val="006A6B6C"/>
    <w:rsid w:val="006A6BD3"/>
    <w:rsid w:val="006A6BE2"/>
    <w:rsid w:val="006A765C"/>
    <w:rsid w:val="006A7DB9"/>
    <w:rsid w:val="006B05B3"/>
    <w:rsid w:val="006B0949"/>
    <w:rsid w:val="006B131E"/>
    <w:rsid w:val="006B1D48"/>
    <w:rsid w:val="006B2B71"/>
    <w:rsid w:val="006B3668"/>
    <w:rsid w:val="006B3E5A"/>
    <w:rsid w:val="006B466D"/>
    <w:rsid w:val="006B57F8"/>
    <w:rsid w:val="006B5E2E"/>
    <w:rsid w:val="006B5F0C"/>
    <w:rsid w:val="006B6011"/>
    <w:rsid w:val="006B6361"/>
    <w:rsid w:val="006B681D"/>
    <w:rsid w:val="006B6F22"/>
    <w:rsid w:val="006B7BF6"/>
    <w:rsid w:val="006B7F05"/>
    <w:rsid w:val="006C083F"/>
    <w:rsid w:val="006C1430"/>
    <w:rsid w:val="006C1E0C"/>
    <w:rsid w:val="006C2C2E"/>
    <w:rsid w:val="006C2C44"/>
    <w:rsid w:val="006C3F8A"/>
    <w:rsid w:val="006C41F0"/>
    <w:rsid w:val="006C4274"/>
    <w:rsid w:val="006C4B5E"/>
    <w:rsid w:val="006C5EEA"/>
    <w:rsid w:val="006C6003"/>
    <w:rsid w:val="006C635F"/>
    <w:rsid w:val="006C6D13"/>
    <w:rsid w:val="006C75B8"/>
    <w:rsid w:val="006C78C7"/>
    <w:rsid w:val="006C7B3E"/>
    <w:rsid w:val="006D01A7"/>
    <w:rsid w:val="006D0239"/>
    <w:rsid w:val="006D0C82"/>
    <w:rsid w:val="006D13F4"/>
    <w:rsid w:val="006D1B9F"/>
    <w:rsid w:val="006D1CCD"/>
    <w:rsid w:val="006D3A93"/>
    <w:rsid w:val="006D4026"/>
    <w:rsid w:val="006D427C"/>
    <w:rsid w:val="006D43E7"/>
    <w:rsid w:val="006D4708"/>
    <w:rsid w:val="006D4ED4"/>
    <w:rsid w:val="006D52DB"/>
    <w:rsid w:val="006D5316"/>
    <w:rsid w:val="006D5406"/>
    <w:rsid w:val="006D5D5E"/>
    <w:rsid w:val="006D5ED1"/>
    <w:rsid w:val="006D6594"/>
    <w:rsid w:val="006D69F4"/>
    <w:rsid w:val="006D7099"/>
    <w:rsid w:val="006D77C5"/>
    <w:rsid w:val="006D7F03"/>
    <w:rsid w:val="006E07F3"/>
    <w:rsid w:val="006E08B8"/>
    <w:rsid w:val="006E1773"/>
    <w:rsid w:val="006E25EE"/>
    <w:rsid w:val="006E2FD9"/>
    <w:rsid w:val="006E4439"/>
    <w:rsid w:val="006E5155"/>
    <w:rsid w:val="006E53CA"/>
    <w:rsid w:val="006E5F35"/>
    <w:rsid w:val="006E62A3"/>
    <w:rsid w:val="006E6AEE"/>
    <w:rsid w:val="006E6D3D"/>
    <w:rsid w:val="006E72D4"/>
    <w:rsid w:val="006E7613"/>
    <w:rsid w:val="006F0284"/>
    <w:rsid w:val="006F0334"/>
    <w:rsid w:val="006F0412"/>
    <w:rsid w:val="006F0ADD"/>
    <w:rsid w:val="006F0B47"/>
    <w:rsid w:val="006F0ED1"/>
    <w:rsid w:val="006F1049"/>
    <w:rsid w:val="006F1126"/>
    <w:rsid w:val="006F187F"/>
    <w:rsid w:val="006F210F"/>
    <w:rsid w:val="006F21BE"/>
    <w:rsid w:val="006F255E"/>
    <w:rsid w:val="006F27A3"/>
    <w:rsid w:val="006F2D23"/>
    <w:rsid w:val="006F3A3C"/>
    <w:rsid w:val="006F4852"/>
    <w:rsid w:val="006F6F6F"/>
    <w:rsid w:val="006F75AA"/>
    <w:rsid w:val="006F7942"/>
    <w:rsid w:val="006F7958"/>
    <w:rsid w:val="006F7F63"/>
    <w:rsid w:val="0070060D"/>
    <w:rsid w:val="00700DE8"/>
    <w:rsid w:val="00701FD8"/>
    <w:rsid w:val="00702A8F"/>
    <w:rsid w:val="00702ED6"/>
    <w:rsid w:val="00703B13"/>
    <w:rsid w:val="00703FB1"/>
    <w:rsid w:val="00704C42"/>
    <w:rsid w:val="0070502A"/>
    <w:rsid w:val="00705B39"/>
    <w:rsid w:val="007063A8"/>
    <w:rsid w:val="00706B56"/>
    <w:rsid w:val="00706F15"/>
    <w:rsid w:val="00707082"/>
    <w:rsid w:val="00707159"/>
    <w:rsid w:val="00707354"/>
    <w:rsid w:val="007109EA"/>
    <w:rsid w:val="00710B89"/>
    <w:rsid w:val="00710FD1"/>
    <w:rsid w:val="00711136"/>
    <w:rsid w:val="007122F1"/>
    <w:rsid w:val="00712544"/>
    <w:rsid w:val="00712E48"/>
    <w:rsid w:val="00713036"/>
    <w:rsid w:val="00713224"/>
    <w:rsid w:val="007135AB"/>
    <w:rsid w:val="00713807"/>
    <w:rsid w:val="0071402E"/>
    <w:rsid w:val="007142D3"/>
    <w:rsid w:val="00714494"/>
    <w:rsid w:val="007145E0"/>
    <w:rsid w:val="00714803"/>
    <w:rsid w:val="00715025"/>
    <w:rsid w:val="007150BA"/>
    <w:rsid w:val="00715573"/>
    <w:rsid w:val="00715A06"/>
    <w:rsid w:val="00715A61"/>
    <w:rsid w:val="00715BB2"/>
    <w:rsid w:val="00715D54"/>
    <w:rsid w:val="007164D1"/>
    <w:rsid w:val="0071753F"/>
    <w:rsid w:val="00720098"/>
    <w:rsid w:val="0072025D"/>
    <w:rsid w:val="007207F9"/>
    <w:rsid w:val="00720A3C"/>
    <w:rsid w:val="00721543"/>
    <w:rsid w:val="00721D8F"/>
    <w:rsid w:val="00722C01"/>
    <w:rsid w:val="00723676"/>
    <w:rsid w:val="00723CE6"/>
    <w:rsid w:val="00723D5C"/>
    <w:rsid w:val="00724216"/>
    <w:rsid w:val="00724823"/>
    <w:rsid w:val="0072499F"/>
    <w:rsid w:val="00725171"/>
    <w:rsid w:val="007269B0"/>
    <w:rsid w:val="007270D8"/>
    <w:rsid w:val="00727F85"/>
    <w:rsid w:val="00730729"/>
    <w:rsid w:val="00730CD4"/>
    <w:rsid w:val="00730F87"/>
    <w:rsid w:val="00731FC7"/>
    <w:rsid w:val="0073272C"/>
    <w:rsid w:val="007330DF"/>
    <w:rsid w:val="00733119"/>
    <w:rsid w:val="007338D6"/>
    <w:rsid w:val="007339DC"/>
    <w:rsid w:val="00734DF1"/>
    <w:rsid w:val="007353E5"/>
    <w:rsid w:val="007355A8"/>
    <w:rsid w:val="0073607D"/>
    <w:rsid w:val="00736093"/>
    <w:rsid w:val="00736263"/>
    <w:rsid w:val="00736D5D"/>
    <w:rsid w:val="0073726F"/>
    <w:rsid w:val="007372EC"/>
    <w:rsid w:val="0073768B"/>
    <w:rsid w:val="0073771F"/>
    <w:rsid w:val="00737A18"/>
    <w:rsid w:val="007416EA"/>
    <w:rsid w:val="0074201F"/>
    <w:rsid w:val="00743090"/>
    <w:rsid w:val="00743731"/>
    <w:rsid w:val="00744B2C"/>
    <w:rsid w:val="00744D9D"/>
    <w:rsid w:val="00744ED3"/>
    <w:rsid w:val="007457A7"/>
    <w:rsid w:val="0074580C"/>
    <w:rsid w:val="0074696D"/>
    <w:rsid w:val="00746FBB"/>
    <w:rsid w:val="007471E9"/>
    <w:rsid w:val="00747A8F"/>
    <w:rsid w:val="0075200C"/>
    <w:rsid w:val="0075280C"/>
    <w:rsid w:val="00752A9B"/>
    <w:rsid w:val="00753DF0"/>
    <w:rsid w:val="00753EE9"/>
    <w:rsid w:val="00753F3E"/>
    <w:rsid w:val="00754075"/>
    <w:rsid w:val="0075476D"/>
    <w:rsid w:val="00754CF0"/>
    <w:rsid w:val="00754EA5"/>
    <w:rsid w:val="007550E6"/>
    <w:rsid w:val="00756601"/>
    <w:rsid w:val="00757E6A"/>
    <w:rsid w:val="007602A2"/>
    <w:rsid w:val="00760605"/>
    <w:rsid w:val="0076144D"/>
    <w:rsid w:val="00761AED"/>
    <w:rsid w:val="00761C37"/>
    <w:rsid w:val="00761D67"/>
    <w:rsid w:val="007623F1"/>
    <w:rsid w:val="00762919"/>
    <w:rsid w:val="007629E9"/>
    <w:rsid w:val="007633AB"/>
    <w:rsid w:val="007634A9"/>
    <w:rsid w:val="00763755"/>
    <w:rsid w:val="00763B73"/>
    <w:rsid w:val="00763B82"/>
    <w:rsid w:val="007646EF"/>
    <w:rsid w:val="007648A3"/>
    <w:rsid w:val="00764A03"/>
    <w:rsid w:val="00764A65"/>
    <w:rsid w:val="00764EE5"/>
    <w:rsid w:val="0076603A"/>
    <w:rsid w:val="0076661A"/>
    <w:rsid w:val="00766C4C"/>
    <w:rsid w:val="007673C7"/>
    <w:rsid w:val="00767C4F"/>
    <w:rsid w:val="00770528"/>
    <w:rsid w:val="00770833"/>
    <w:rsid w:val="007708CE"/>
    <w:rsid w:val="00771329"/>
    <w:rsid w:val="00771896"/>
    <w:rsid w:val="0077225C"/>
    <w:rsid w:val="0077413A"/>
    <w:rsid w:val="007741FB"/>
    <w:rsid w:val="00774F5F"/>
    <w:rsid w:val="00775676"/>
    <w:rsid w:val="00776453"/>
    <w:rsid w:val="007769EE"/>
    <w:rsid w:val="00776E56"/>
    <w:rsid w:val="00777F60"/>
    <w:rsid w:val="007802C0"/>
    <w:rsid w:val="007808FA"/>
    <w:rsid w:val="007822D0"/>
    <w:rsid w:val="00782F53"/>
    <w:rsid w:val="00783302"/>
    <w:rsid w:val="00784C27"/>
    <w:rsid w:val="007852E0"/>
    <w:rsid w:val="007857BD"/>
    <w:rsid w:val="00785A32"/>
    <w:rsid w:val="0078633E"/>
    <w:rsid w:val="007863FA"/>
    <w:rsid w:val="007866AB"/>
    <w:rsid w:val="00786DD7"/>
    <w:rsid w:val="00787101"/>
    <w:rsid w:val="00787593"/>
    <w:rsid w:val="0079077F"/>
    <w:rsid w:val="00790DDB"/>
    <w:rsid w:val="00791EAF"/>
    <w:rsid w:val="00793BA0"/>
    <w:rsid w:val="007947F2"/>
    <w:rsid w:val="00794D0E"/>
    <w:rsid w:val="00795B7D"/>
    <w:rsid w:val="007964BE"/>
    <w:rsid w:val="007972F8"/>
    <w:rsid w:val="00797363"/>
    <w:rsid w:val="007979F5"/>
    <w:rsid w:val="00797DAE"/>
    <w:rsid w:val="007A0C08"/>
    <w:rsid w:val="007A0D59"/>
    <w:rsid w:val="007A13DB"/>
    <w:rsid w:val="007A2306"/>
    <w:rsid w:val="007A2CFF"/>
    <w:rsid w:val="007A2F0E"/>
    <w:rsid w:val="007A3712"/>
    <w:rsid w:val="007A3AB3"/>
    <w:rsid w:val="007A3F1C"/>
    <w:rsid w:val="007A5DAB"/>
    <w:rsid w:val="007A61FA"/>
    <w:rsid w:val="007A6A98"/>
    <w:rsid w:val="007A7BFA"/>
    <w:rsid w:val="007A7F6D"/>
    <w:rsid w:val="007B0F28"/>
    <w:rsid w:val="007B1CD5"/>
    <w:rsid w:val="007B1FD4"/>
    <w:rsid w:val="007B33BA"/>
    <w:rsid w:val="007B49E2"/>
    <w:rsid w:val="007B4F59"/>
    <w:rsid w:val="007B5B4C"/>
    <w:rsid w:val="007B5D09"/>
    <w:rsid w:val="007B6705"/>
    <w:rsid w:val="007B67A6"/>
    <w:rsid w:val="007B6C05"/>
    <w:rsid w:val="007B751B"/>
    <w:rsid w:val="007C0095"/>
    <w:rsid w:val="007C0D3D"/>
    <w:rsid w:val="007C116B"/>
    <w:rsid w:val="007C17FC"/>
    <w:rsid w:val="007C1885"/>
    <w:rsid w:val="007C1E0F"/>
    <w:rsid w:val="007C1EE8"/>
    <w:rsid w:val="007C2767"/>
    <w:rsid w:val="007C29D3"/>
    <w:rsid w:val="007C2CF5"/>
    <w:rsid w:val="007C3122"/>
    <w:rsid w:val="007C3193"/>
    <w:rsid w:val="007C33A7"/>
    <w:rsid w:val="007C3772"/>
    <w:rsid w:val="007C4966"/>
    <w:rsid w:val="007C6083"/>
    <w:rsid w:val="007C6D71"/>
    <w:rsid w:val="007C6ED0"/>
    <w:rsid w:val="007C6F13"/>
    <w:rsid w:val="007C7FF8"/>
    <w:rsid w:val="007D133A"/>
    <w:rsid w:val="007D1CBB"/>
    <w:rsid w:val="007D23D9"/>
    <w:rsid w:val="007D248C"/>
    <w:rsid w:val="007D376C"/>
    <w:rsid w:val="007D4DBE"/>
    <w:rsid w:val="007D57F4"/>
    <w:rsid w:val="007D58DB"/>
    <w:rsid w:val="007D59FF"/>
    <w:rsid w:val="007D5DA9"/>
    <w:rsid w:val="007D6594"/>
    <w:rsid w:val="007E00AE"/>
    <w:rsid w:val="007E05EB"/>
    <w:rsid w:val="007E06AB"/>
    <w:rsid w:val="007E0D36"/>
    <w:rsid w:val="007E0DD7"/>
    <w:rsid w:val="007E0FEE"/>
    <w:rsid w:val="007E1819"/>
    <w:rsid w:val="007E1E4B"/>
    <w:rsid w:val="007E1E91"/>
    <w:rsid w:val="007E370D"/>
    <w:rsid w:val="007E41D4"/>
    <w:rsid w:val="007E44F8"/>
    <w:rsid w:val="007E47BD"/>
    <w:rsid w:val="007E486E"/>
    <w:rsid w:val="007E588B"/>
    <w:rsid w:val="007E5ABC"/>
    <w:rsid w:val="007E6256"/>
    <w:rsid w:val="007E6956"/>
    <w:rsid w:val="007E70E6"/>
    <w:rsid w:val="007E710F"/>
    <w:rsid w:val="007E7C74"/>
    <w:rsid w:val="007E7C9F"/>
    <w:rsid w:val="007F0B0D"/>
    <w:rsid w:val="007F0CF9"/>
    <w:rsid w:val="007F0E46"/>
    <w:rsid w:val="007F127F"/>
    <w:rsid w:val="007F20DF"/>
    <w:rsid w:val="007F2B02"/>
    <w:rsid w:val="007F2F63"/>
    <w:rsid w:val="007F33D4"/>
    <w:rsid w:val="007F3B1E"/>
    <w:rsid w:val="007F3CFD"/>
    <w:rsid w:val="007F3FD5"/>
    <w:rsid w:val="007F495B"/>
    <w:rsid w:val="007F4962"/>
    <w:rsid w:val="007F4A6E"/>
    <w:rsid w:val="007F4D03"/>
    <w:rsid w:val="007F51E6"/>
    <w:rsid w:val="007F585B"/>
    <w:rsid w:val="007F596F"/>
    <w:rsid w:val="007F6047"/>
    <w:rsid w:val="007F6BE2"/>
    <w:rsid w:val="007F6C04"/>
    <w:rsid w:val="007F7770"/>
    <w:rsid w:val="007F7E14"/>
    <w:rsid w:val="0080046E"/>
    <w:rsid w:val="00801F4E"/>
    <w:rsid w:val="00802547"/>
    <w:rsid w:val="0080334D"/>
    <w:rsid w:val="0080363A"/>
    <w:rsid w:val="0080399E"/>
    <w:rsid w:val="00803C08"/>
    <w:rsid w:val="0080400D"/>
    <w:rsid w:val="008043DF"/>
    <w:rsid w:val="008044C4"/>
    <w:rsid w:val="00804947"/>
    <w:rsid w:val="00805307"/>
    <w:rsid w:val="00805424"/>
    <w:rsid w:val="00805613"/>
    <w:rsid w:val="00805B45"/>
    <w:rsid w:val="008070FB"/>
    <w:rsid w:val="008071CA"/>
    <w:rsid w:val="008073FF"/>
    <w:rsid w:val="00807595"/>
    <w:rsid w:val="00810C88"/>
    <w:rsid w:val="00810FC6"/>
    <w:rsid w:val="0081127B"/>
    <w:rsid w:val="0081132B"/>
    <w:rsid w:val="00811CFC"/>
    <w:rsid w:val="00812420"/>
    <w:rsid w:val="00812825"/>
    <w:rsid w:val="00812F0B"/>
    <w:rsid w:val="0081349F"/>
    <w:rsid w:val="0081406D"/>
    <w:rsid w:val="00814FE6"/>
    <w:rsid w:val="0081535B"/>
    <w:rsid w:val="00815EA2"/>
    <w:rsid w:val="008161F5"/>
    <w:rsid w:val="00816209"/>
    <w:rsid w:val="008164BA"/>
    <w:rsid w:val="008174F2"/>
    <w:rsid w:val="0081760F"/>
    <w:rsid w:val="0081791B"/>
    <w:rsid w:val="00817A2C"/>
    <w:rsid w:val="00817E01"/>
    <w:rsid w:val="00817FA4"/>
    <w:rsid w:val="00820875"/>
    <w:rsid w:val="0082338A"/>
    <w:rsid w:val="00823851"/>
    <w:rsid w:val="0082499A"/>
    <w:rsid w:val="00824A5C"/>
    <w:rsid w:val="008257AD"/>
    <w:rsid w:val="00826942"/>
    <w:rsid w:val="00827188"/>
    <w:rsid w:val="00830193"/>
    <w:rsid w:val="00830EFB"/>
    <w:rsid w:val="00832F74"/>
    <w:rsid w:val="0083304A"/>
    <w:rsid w:val="00833425"/>
    <w:rsid w:val="0083357A"/>
    <w:rsid w:val="00834236"/>
    <w:rsid w:val="008345DB"/>
    <w:rsid w:val="00834B5B"/>
    <w:rsid w:val="0083510C"/>
    <w:rsid w:val="008352C5"/>
    <w:rsid w:val="0083765A"/>
    <w:rsid w:val="0083798B"/>
    <w:rsid w:val="0084048B"/>
    <w:rsid w:val="00840924"/>
    <w:rsid w:val="0084139C"/>
    <w:rsid w:val="008428DC"/>
    <w:rsid w:val="00844F39"/>
    <w:rsid w:val="0084622F"/>
    <w:rsid w:val="00846436"/>
    <w:rsid w:val="00846751"/>
    <w:rsid w:val="008467CC"/>
    <w:rsid w:val="0085066B"/>
    <w:rsid w:val="00851211"/>
    <w:rsid w:val="00851279"/>
    <w:rsid w:val="00851B10"/>
    <w:rsid w:val="00851F9A"/>
    <w:rsid w:val="008523B5"/>
    <w:rsid w:val="00852481"/>
    <w:rsid w:val="00852541"/>
    <w:rsid w:val="008525AE"/>
    <w:rsid w:val="00852634"/>
    <w:rsid w:val="00853AAE"/>
    <w:rsid w:val="00853AC1"/>
    <w:rsid w:val="00855DF1"/>
    <w:rsid w:val="008563F9"/>
    <w:rsid w:val="0085773C"/>
    <w:rsid w:val="00860AB2"/>
    <w:rsid w:val="00860B80"/>
    <w:rsid w:val="00861241"/>
    <w:rsid w:val="00861A70"/>
    <w:rsid w:val="0086233A"/>
    <w:rsid w:val="0086290C"/>
    <w:rsid w:val="00862F27"/>
    <w:rsid w:val="008630C4"/>
    <w:rsid w:val="00863898"/>
    <w:rsid w:val="00863DAE"/>
    <w:rsid w:val="00863EF4"/>
    <w:rsid w:val="0086408A"/>
    <w:rsid w:val="00865350"/>
    <w:rsid w:val="00866A96"/>
    <w:rsid w:val="00866CCE"/>
    <w:rsid w:val="0086768B"/>
    <w:rsid w:val="00867858"/>
    <w:rsid w:val="00870B71"/>
    <w:rsid w:val="00870DF1"/>
    <w:rsid w:val="00871EFC"/>
    <w:rsid w:val="008724E4"/>
    <w:rsid w:val="008728BE"/>
    <w:rsid w:val="008729B0"/>
    <w:rsid w:val="00872C0C"/>
    <w:rsid w:val="00872C15"/>
    <w:rsid w:val="0087362A"/>
    <w:rsid w:val="008741FA"/>
    <w:rsid w:val="00874F64"/>
    <w:rsid w:val="00875109"/>
    <w:rsid w:val="0087521B"/>
    <w:rsid w:val="008754CC"/>
    <w:rsid w:val="0087577D"/>
    <w:rsid w:val="00875AFE"/>
    <w:rsid w:val="00875CA7"/>
    <w:rsid w:val="00875CBC"/>
    <w:rsid w:val="00875D45"/>
    <w:rsid w:val="00876728"/>
    <w:rsid w:val="0087675B"/>
    <w:rsid w:val="00876904"/>
    <w:rsid w:val="00877106"/>
    <w:rsid w:val="008801A0"/>
    <w:rsid w:val="00880CC1"/>
    <w:rsid w:val="00881347"/>
    <w:rsid w:val="00881E8F"/>
    <w:rsid w:val="00882415"/>
    <w:rsid w:val="00882599"/>
    <w:rsid w:val="008826B1"/>
    <w:rsid w:val="00882A05"/>
    <w:rsid w:val="00882B69"/>
    <w:rsid w:val="00882B6D"/>
    <w:rsid w:val="00882E2B"/>
    <w:rsid w:val="008837A8"/>
    <w:rsid w:val="00883D9E"/>
    <w:rsid w:val="00883EEB"/>
    <w:rsid w:val="008845FD"/>
    <w:rsid w:val="008849E0"/>
    <w:rsid w:val="008852D4"/>
    <w:rsid w:val="008853E9"/>
    <w:rsid w:val="00885F8B"/>
    <w:rsid w:val="008865BD"/>
    <w:rsid w:val="008867E3"/>
    <w:rsid w:val="00886923"/>
    <w:rsid w:val="00886C55"/>
    <w:rsid w:val="00886CE7"/>
    <w:rsid w:val="00887515"/>
    <w:rsid w:val="00887606"/>
    <w:rsid w:val="008879A7"/>
    <w:rsid w:val="00887E05"/>
    <w:rsid w:val="008904D0"/>
    <w:rsid w:val="0089100B"/>
    <w:rsid w:val="00892910"/>
    <w:rsid w:val="00894324"/>
    <w:rsid w:val="008947E6"/>
    <w:rsid w:val="008950C3"/>
    <w:rsid w:val="008957C3"/>
    <w:rsid w:val="00895FF5"/>
    <w:rsid w:val="0089652F"/>
    <w:rsid w:val="008969B5"/>
    <w:rsid w:val="0089721F"/>
    <w:rsid w:val="008974F7"/>
    <w:rsid w:val="00897642"/>
    <w:rsid w:val="008A130E"/>
    <w:rsid w:val="008A16CD"/>
    <w:rsid w:val="008A20DA"/>
    <w:rsid w:val="008A228E"/>
    <w:rsid w:val="008A25A4"/>
    <w:rsid w:val="008A28D1"/>
    <w:rsid w:val="008A2D8A"/>
    <w:rsid w:val="008A4533"/>
    <w:rsid w:val="008A4ACB"/>
    <w:rsid w:val="008A5BD7"/>
    <w:rsid w:val="008A7CB8"/>
    <w:rsid w:val="008B0312"/>
    <w:rsid w:val="008B2428"/>
    <w:rsid w:val="008B292F"/>
    <w:rsid w:val="008B30EA"/>
    <w:rsid w:val="008B3F57"/>
    <w:rsid w:val="008B4C83"/>
    <w:rsid w:val="008B4DE2"/>
    <w:rsid w:val="008B4FF8"/>
    <w:rsid w:val="008B5381"/>
    <w:rsid w:val="008B5DE0"/>
    <w:rsid w:val="008B62CB"/>
    <w:rsid w:val="008B7343"/>
    <w:rsid w:val="008B763F"/>
    <w:rsid w:val="008B7770"/>
    <w:rsid w:val="008B7CF2"/>
    <w:rsid w:val="008B7FE7"/>
    <w:rsid w:val="008C0365"/>
    <w:rsid w:val="008C1C5C"/>
    <w:rsid w:val="008C2699"/>
    <w:rsid w:val="008C2709"/>
    <w:rsid w:val="008C2AE9"/>
    <w:rsid w:val="008C4467"/>
    <w:rsid w:val="008C4ED5"/>
    <w:rsid w:val="008C512E"/>
    <w:rsid w:val="008C5FFC"/>
    <w:rsid w:val="008C72A2"/>
    <w:rsid w:val="008C76F4"/>
    <w:rsid w:val="008D03F0"/>
    <w:rsid w:val="008D1A72"/>
    <w:rsid w:val="008D1E77"/>
    <w:rsid w:val="008D2544"/>
    <w:rsid w:val="008D3DB2"/>
    <w:rsid w:val="008D41FB"/>
    <w:rsid w:val="008D45C7"/>
    <w:rsid w:val="008D4A57"/>
    <w:rsid w:val="008D53DA"/>
    <w:rsid w:val="008D593A"/>
    <w:rsid w:val="008D706D"/>
    <w:rsid w:val="008D749F"/>
    <w:rsid w:val="008D78B2"/>
    <w:rsid w:val="008E0430"/>
    <w:rsid w:val="008E08BD"/>
    <w:rsid w:val="008E0960"/>
    <w:rsid w:val="008E0F9F"/>
    <w:rsid w:val="008E1040"/>
    <w:rsid w:val="008E21F3"/>
    <w:rsid w:val="008E2645"/>
    <w:rsid w:val="008E2DB7"/>
    <w:rsid w:val="008E3A69"/>
    <w:rsid w:val="008E3CE9"/>
    <w:rsid w:val="008E4C53"/>
    <w:rsid w:val="008E4CE4"/>
    <w:rsid w:val="008E50F5"/>
    <w:rsid w:val="008E511F"/>
    <w:rsid w:val="008E5A18"/>
    <w:rsid w:val="008E5B73"/>
    <w:rsid w:val="008E5D60"/>
    <w:rsid w:val="008E5DDA"/>
    <w:rsid w:val="008E6BC0"/>
    <w:rsid w:val="008F0C29"/>
    <w:rsid w:val="008F1366"/>
    <w:rsid w:val="008F19E4"/>
    <w:rsid w:val="008F217C"/>
    <w:rsid w:val="008F249B"/>
    <w:rsid w:val="008F2EBB"/>
    <w:rsid w:val="008F32C3"/>
    <w:rsid w:val="008F392C"/>
    <w:rsid w:val="008F40CB"/>
    <w:rsid w:val="008F485D"/>
    <w:rsid w:val="008F4B23"/>
    <w:rsid w:val="008F596A"/>
    <w:rsid w:val="008F61F3"/>
    <w:rsid w:val="008F6533"/>
    <w:rsid w:val="008F7300"/>
    <w:rsid w:val="008F773D"/>
    <w:rsid w:val="008F77A6"/>
    <w:rsid w:val="008F789B"/>
    <w:rsid w:val="008F7AAB"/>
    <w:rsid w:val="008F7BA6"/>
    <w:rsid w:val="00900193"/>
    <w:rsid w:val="009003F4"/>
    <w:rsid w:val="0090081D"/>
    <w:rsid w:val="00900D14"/>
    <w:rsid w:val="00900F22"/>
    <w:rsid w:val="009010DC"/>
    <w:rsid w:val="009011D8"/>
    <w:rsid w:val="009015B6"/>
    <w:rsid w:val="00903349"/>
    <w:rsid w:val="00903672"/>
    <w:rsid w:val="0090379E"/>
    <w:rsid w:val="00904311"/>
    <w:rsid w:val="00904346"/>
    <w:rsid w:val="00904EFC"/>
    <w:rsid w:val="00905CF5"/>
    <w:rsid w:val="00905DFD"/>
    <w:rsid w:val="0090662C"/>
    <w:rsid w:val="0090670C"/>
    <w:rsid w:val="0090683B"/>
    <w:rsid w:val="0090697E"/>
    <w:rsid w:val="009073DA"/>
    <w:rsid w:val="0091007D"/>
    <w:rsid w:val="00910EF0"/>
    <w:rsid w:val="00911722"/>
    <w:rsid w:val="009119D5"/>
    <w:rsid w:val="0091250C"/>
    <w:rsid w:val="009126DA"/>
    <w:rsid w:val="00912E7C"/>
    <w:rsid w:val="009139F0"/>
    <w:rsid w:val="0091418B"/>
    <w:rsid w:val="00914655"/>
    <w:rsid w:val="0091581D"/>
    <w:rsid w:val="00915C9C"/>
    <w:rsid w:val="00915F3C"/>
    <w:rsid w:val="009165E8"/>
    <w:rsid w:val="00916895"/>
    <w:rsid w:val="00916ADB"/>
    <w:rsid w:val="00917011"/>
    <w:rsid w:val="0091765E"/>
    <w:rsid w:val="009176D3"/>
    <w:rsid w:val="00917EB1"/>
    <w:rsid w:val="009203DF"/>
    <w:rsid w:val="0092072A"/>
    <w:rsid w:val="00920C67"/>
    <w:rsid w:val="009211A7"/>
    <w:rsid w:val="0092140E"/>
    <w:rsid w:val="00922034"/>
    <w:rsid w:val="0092206D"/>
    <w:rsid w:val="00922558"/>
    <w:rsid w:val="00923396"/>
    <w:rsid w:val="00923912"/>
    <w:rsid w:val="00923CA9"/>
    <w:rsid w:val="0092452B"/>
    <w:rsid w:val="00924C43"/>
    <w:rsid w:val="00925A0F"/>
    <w:rsid w:val="00926C41"/>
    <w:rsid w:val="00926D8A"/>
    <w:rsid w:val="009272C2"/>
    <w:rsid w:val="00927B53"/>
    <w:rsid w:val="00927D99"/>
    <w:rsid w:val="00930266"/>
    <w:rsid w:val="00930F4C"/>
    <w:rsid w:val="0093122A"/>
    <w:rsid w:val="00931588"/>
    <w:rsid w:val="0093278B"/>
    <w:rsid w:val="0093390B"/>
    <w:rsid w:val="00934BD7"/>
    <w:rsid w:val="0093636B"/>
    <w:rsid w:val="009363AC"/>
    <w:rsid w:val="00936BFA"/>
    <w:rsid w:val="00937C16"/>
    <w:rsid w:val="009405C8"/>
    <w:rsid w:val="00940A13"/>
    <w:rsid w:val="009411B9"/>
    <w:rsid w:val="00941293"/>
    <w:rsid w:val="009418AD"/>
    <w:rsid w:val="009418D0"/>
    <w:rsid w:val="00941AE7"/>
    <w:rsid w:val="00942014"/>
    <w:rsid w:val="00942117"/>
    <w:rsid w:val="009422AB"/>
    <w:rsid w:val="0094292A"/>
    <w:rsid w:val="00942EA2"/>
    <w:rsid w:val="00943142"/>
    <w:rsid w:val="009434ED"/>
    <w:rsid w:val="00943D33"/>
    <w:rsid w:val="00943F34"/>
    <w:rsid w:val="00944623"/>
    <w:rsid w:val="0094579C"/>
    <w:rsid w:val="00946467"/>
    <w:rsid w:val="009472C6"/>
    <w:rsid w:val="00947356"/>
    <w:rsid w:val="0094741C"/>
    <w:rsid w:val="0095042E"/>
    <w:rsid w:val="009505C7"/>
    <w:rsid w:val="00951828"/>
    <w:rsid w:val="00951D37"/>
    <w:rsid w:val="009526F3"/>
    <w:rsid w:val="009529EB"/>
    <w:rsid w:val="009530C9"/>
    <w:rsid w:val="00953A82"/>
    <w:rsid w:val="00953E7E"/>
    <w:rsid w:val="0095434E"/>
    <w:rsid w:val="00954502"/>
    <w:rsid w:val="009547DF"/>
    <w:rsid w:val="00954F04"/>
    <w:rsid w:val="00955527"/>
    <w:rsid w:val="00955AB6"/>
    <w:rsid w:val="00955C1A"/>
    <w:rsid w:val="0095685C"/>
    <w:rsid w:val="00956B6D"/>
    <w:rsid w:val="00956DC4"/>
    <w:rsid w:val="00957881"/>
    <w:rsid w:val="0096000A"/>
    <w:rsid w:val="009600CD"/>
    <w:rsid w:val="009601C4"/>
    <w:rsid w:val="00960740"/>
    <w:rsid w:val="00960930"/>
    <w:rsid w:val="00960C12"/>
    <w:rsid w:val="00961288"/>
    <w:rsid w:val="00962988"/>
    <w:rsid w:val="00962A40"/>
    <w:rsid w:val="00963A25"/>
    <w:rsid w:val="0096469D"/>
    <w:rsid w:val="00966451"/>
    <w:rsid w:val="00966916"/>
    <w:rsid w:val="00967381"/>
    <w:rsid w:val="0096779B"/>
    <w:rsid w:val="00967976"/>
    <w:rsid w:val="00967C55"/>
    <w:rsid w:val="00967F97"/>
    <w:rsid w:val="009706C6"/>
    <w:rsid w:val="00970971"/>
    <w:rsid w:val="00970AC7"/>
    <w:rsid w:val="00970B1A"/>
    <w:rsid w:val="00970B5A"/>
    <w:rsid w:val="00970D95"/>
    <w:rsid w:val="00971112"/>
    <w:rsid w:val="00971C7D"/>
    <w:rsid w:val="009726D7"/>
    <w:rsid w:val="009730A0"/>
    <w:rsid w:val="00973F19"/>
    <w:rsid w:val="00974931"/>
    <w:rsid w:val="009749BB"/>
    <w:rsid w:val="00974F97"/>
    <w:rsid w:val="009753E1"/>
    <w:rsid w:val="00975A2A"/>
    <w:rsid w:val="00975E03"/>
    <w:rsid w:val="009766A3"/>
    <w:rsid w:val="0097692C"/>
    <w:rsid w:val="00977026"/>
    <w:rsid w:val="00977619"/>
    <w:rsid w:val="00977A27"/>
    <w:rsid w:val="00980B58"/>
    <w:rsid w:val="00981617"/>
    <w:rsid w:val="00981999"/>
    <w:rsid w:val="00982044"/>
    <w:rsid w:val="00982800"/>
    <w:rsid w:val="0098298A"/>
    <w:rsid w:val="009836C4"/>
    <w:rsid w:val="00983EED"/>
    <w:rsid w:val="0098413B"/>
    <w:rsid w:val="00984869"/>
    <w:rsid w:val="00985FDC"/>
    <w:rsid w:val="00986097"/>
    <w:rsid w:val="00986995"/>
    <w:rsid w:val="00986C47"/>
    <w:rsid w:val="00986E96"/>
    <w:rsid w:val="009871EF"/>
    <w:rsid w:val="009872E4"/>
    <w:rsid w:val="00987688"/>
    <w:rsid w:val="009907E7"/>
    <w:rsid w:val="00990EE8"/>
    <w:rsid w:val="00991F6A"/>
    <w:rsid w:val="009921DC"/>
    <w:rsid w:val="009926A1"/>
    <w:rsid w:val="00992D92"/>
    <w:rsid w:val="0099346C"/>
    <w:rsid w:val="0099350D"/>
    <w:rsid w:val="00994321"/>
    <w:rsid w:val="00994711"/>
    <w:rsid w:val="0099473F"/>
    <w:rsid w:val="00995357"/>
    <w:rsid w:val="00995F38"/>
    <w:rsid w:val="00996341"/>
    <w:rsid w:val="00996558"/>
    <w:rsid w:val="00996D3A"/>
    <w:rsid w:val="00997812"/>
    <w:rsid w:val="009A022B"/>
    <w:rsid w:val="009A11C4"/>
    <w:rsid w:val="009A1225"/>
    <w:rsid w:val="009A1937"/>
    <w:rsid w:val="009A31D7"/>
    <w:rsid w:val="009A37F5"/>
    <w:rsid w:val="009A3821"/>
    <w:rsid w:val="009A3B2A"/>
    <w:rsid w:val="009A4105"/>
    <w:rsid w:val="009A47DA"/>
    <w:rsid w:val="009A4870"/>
    <w:rsid w:val="009A5260"/>
    <w:rsid w:val="009A5827"/>
    <w:rsid w:val="009A5AE6"/>
    <w:rsid w:val="009A609D"/>
    <w:rsid w:val="009A652E"/>
    <w:rsid w:val="009A7942"/>
    <w:rsid w:val="009A7FD4"/>
    <w:rsid w:val="009B0829"/>
    <w:rsid w:val="009B1288"/>
    <w:rsid w:val="009B172B"/>
    <w:rsid w:val="009B1741"/>
    <w:rsid w:val="009B184D"/>
    <w:rsid w:val="009B1A35"/>
    <w:rsid w:val="009B1C30"/>
    <w:rsid w:val="009B27C5"/>
    <w:rsid w:val="009B33EA"/>
    <w:rsid w:val="009B366C"/>
    <w:rsid w:val="009B434A"/>
    <w:rsid w:val="009B4498"/>
    <w:rsid w:val="009B5181"/>
    <w:rsid w:val="009B6221"/>
    <w:rsid w:val="009B7756"/>
    <w:rsid w:val="009B7969"/>
    <w:rsid w:val="009B79BE"/>
    <w:rsid w:val="009B7C5C"/>
    <w:rsid w:val="009B7EBF"/>
    <w:rsid w:val="009C0F7B"/>
    <w:rsid w:val="009C188A"/>
    <w:rsid w:val="009C366F"/>
    <w:rsid w:val="009C4141"/>
    <w:rsid w:val="009C41B0"/>
    <w:rsid w:val="009C4350"/>
    <w:rsid w:val="009C5BCF"/>
    <w:rsid w:val="009C6F82"/>
    <w:rsid w:val="009C726A"/>
    <w:rsid w:val="009C75FA"/>
    <w:rsid w:val="009C7F75"/>
    <w:rsid w:val="009D0727"/>
    <w:rsid w:val="009D0741"/>
    <w:rsid w:val="009D08D9"/>
    <w:rsid w:val="009D1275"/>
    <w:rsid w:val="009D2E6F"/>
    <w:rsid w:val="009D2E82"/>
    <w:rsid w:val="009D3583"/>
    <w:rsid w:val="009D36E8"/>
    <w:rsid w:val="009D4EAD"/>
    <w:rsid w:val="009D52EB"/>
    <w:rsid w:val="009D5970"/>
    <w:rsid w:val="009D5F5B"/>
    <w:rsid w:val="009D6608"/>
    <w:rsid w:val="009D7249"/>
    <w:rsid w:val="009D75BD"/>
    <w:rsid w:val="009E1356"/>
    <w:rsid w:val="009E146A"/>
    <w:rsid w:val="009E246B"/>
    <w:rsid w:val="009E28D1"/>
    <w:rsid w:val="009E28E7"/>
    <w:rsid w:val="009E2A14"/>
    <w:rsid w:val="009E2BB9"/>
    <w:rsid w:val="009E2BFA"/>
    <w:rsid w:val="009E3065"/>
    <w:rsid w:val="009E3E38"/>
    <w:rsid w:val="009E40D3"/>
    <w:rsid w:val="009E43FB"/>
    <w:rsid w:val="009E4ED9"/>
    <w:rsid w:val="009E5190"/>
    <w:rsid w:val="009E546B"/>
    <w:rsid w:val="009E56C9"/>
    <w:rsid w:val="009E5FEE"/>
    <w:rsid w:val="009E69B0"/>
    <w:rsid w:val="009E722B"/>
    <w:rsid w:val="009E75A4"/>
    <w:rsid w:val="009E762E"/>
    <w:rsid w:val="009F0125"/>
    <w:rsid w:val="009F1274"/>
    <w:rsid w:val="009F27B2"/>
    <w:rsid w:val="009F287D"/>
    <w:rsid w:val="009F332E"/>
    <w:rsid w:val="009F356C"/>
    <w:rsid w:val="009F432C"/>
    <w:rsid w:val="009F4C2F"/>
    <w:rsid w:val="009F4E64"/>
    <w:rsid w:val="009F51AA"/>
    <w:rsid w:val="009F5325"/>
    <w:rsid w:val="009F57A7"/>
    <w:rsid w:val="009F608C"/>
    <w:rsid w:val="009F6984"/>
    <w:rsid w:val="00A002E2"/>
    <w:rsid w:val="00A00801"/>
    <w:rsid w:val="00A009CA"/>
    <w:rsid w:val="00A00F54"/>
    <w:rsid w:val="00A025A8"/>
    <w:rsid w:val="00A030F2"/>
    <w:rsid w:val="00A03980"/>
    <w:rsid w:val="00A03EE2"/>
    <w:rsid w:val="00A0478C"/>
    <w:rsid w:val="00A04B2F"/>
    <w:rsid w:val="00A07272"/>
    <w:rsid w:val="00A079A1"/>
    <w:rsid w:val="00A07C62"/>
    <w:rsid w:val="00A10937"/>
    <w:rsid w:val="00A11007"/>
    <w:rsid w:val="00A11A5F"/>
    <w:rsid w:val="00A11B23"/>
    <w:rsid w:val="00A11B47"/>
    <w:rsid w:val="00A12014"/>
    <w:rsid w:val="00A1335A"/>
    <w:rsid w:val="00A137E7"/>
    <w:rsid w:val="00A13C8D"/>
    <w:rsid w:val="00A14462"/>
    <w:rsid w:val="00A146E7"/>
    <w:rsid w:val="00A14D92"/>
    <w:rsid w:val="00A15177"/>
    <w:rsid w:val="00A15386"/>
    <w:rsid w:val="00A15820"/>
    <w:rsid w:val="00A15989"/>
    <w:rsid w:val="00A16675"/>
    <w:rsid w:val="00A20D7B"/>
    <w:rsid w:val="00A216A1"/>
    <w:rsid w:val="00A2183E"/>
    <w:rsid w:val="00A21D72"/>
    <w:rsid w:val="00A22662"/>
    <w:rsid w:val="00A22F7E"/>
    <w:rsid w:val="00A23932"/>
    <w:rsid w:val="00A23D80"/>
    <w:rsid w:val="00A23EA0"/>
    <w:rsid w:val="00A24A25"/>
    <w:rsid w:val="00A24A3F"/>
    <w:rsid w:val="00A25446"/>
    <w:rsid w:val="00A26601"/>
    <w:rsid w:val="00A2667A"/>
    <w:rsid w:val="00A27131"/>
    <w:rsid w:val="00A308C4"/>
    <w:rsid w:val="00A308D6"/>
    <w:rsid w:val="00A31AE1"/>
    <w:rsid w:val="00A31D33"/>
    <w:rsid w:val="00A32901"/>
    <w:rsid w:val="00A32B66"/>
    <w:rsid w:val="00A33FA9"/>
    <w:rsid w:val="00A34012"/>
    <w:rsid w:val="00A3411E"/>
    <w:rsid w:val="00A35BDF"/>
    <w:rsid w:val="00A374D7"/>
    <w:rsid w:val="00A376B9"/>
    <w:rsid w:val="00A3774B"/>
    <w:rsid w:val="00A4014A"/>
    <w:rsid w:val="00A40E37"/>
    <w:rsid w:val="00A414E9"/>
    <w:rsid w:val="00A41E24"/>
    <w:rsid w:val="00A423B7"/>
    <w:rsid w:val="00A4313F"/>
    <w:rsid w:val="00A4420E"/>
    <w:rsid w:val="00A45066"/>
    <w:rsid w:val="00A450D5"/>
    <w:rsid w:val="00A4601A"/>
    <w:rsid w:val="00A46B3A"/>
    <w:rsid w:val="00A470EF"/>
    <w:rsid w:val="00A50DDA"/>
    <w:rsid w:val="00A512DA"/>
    <w:rsid w:val="00A519CE"/>
    <w:rsid w:val="00A523D0"/>
    <w:rsid w:val="00A526BB"/>
    <w:rsid w:val="00A52F6C"/>
    <w:rsid w:val="00A53E94"/>
    <w:rsid w:val="00A53FCC"/>
    <w:rsid w:val="00A541A5"/>
    <w:rsid w:val="00A54A8B"/>
    <w:rsid w:val="00A5500A"/>
    <w:rsid w:val="00A55068"/>
    <w:rsid w:val="00A55C17"/>
    <w:rsid w:val="00A55E42"/>
    <w:rsid w:val="00A56834"/>
    <w:rsid w:val="00A57AE2"/>
    <w:rsid w:val="00A57CD6"/>
    <w:rsid w:val="00A57D9B"/>
    <w:rsid w:val="00A57E4D"/>
    <w:rsid w:val="00A6026D"/>
    <w:rsid w:val="00A60296"/>
    <w:rsid w:val="00A6046C"/>
    <w:rsid w:val="00A6047C"/>
    <w:rsid w:val="00A6094D"/>
    <w:rsid w:val="00A60B30"/>
    <w:rsid w:val="00A61E57"/>
    <w:rsid w:val="00A6203F"/>
    <w:rsid w:val="00A623F6"/>
    <w:rsid w:val="00A6287E"/>
    <w:rsid w:val="00A62ECD"/>
    <w:rsid w:val="00A64201"/>
    <w:rsid w:val="00A64AAF"/>
    <w:rsid w:val="00A65698"/>
    <w:rsid w:val="00A657E2"/>
    <w:rsid w:val="00A65DB6"/>
    <w:rsid w:val="00A65E48"/>
    <w:rsid w:val="00A66779"/>
    <w:rsid w:val="00A66E4E"/>
    <w:rsid w:val="00A67E78"/>
    <w:rsid w:val="00A700E5"/>
    <w:rsid w:val="00A703BE"/>
    <w:rsid w:val="00A7057D"/>
    <w:rsid w:val="00A7095A"/>
    <w:rsid w:val="00A70F28"/>
    <w:rsid w:val="00A7142E"/>
    <w:rsid w:val="00A72770"/>
    <w:rsid w:val="00A72DBA"/>
    <w:rsid w:val="00A72F7C"/>
    <w:rsid w:val="00A730BC"/>
    <w:rsid w:val="00A736AD"/>
    <w:rsid w:val="00A736D3"/>
    <w:rsid w:val="00A739AF"/>
    <w:rsid w:val="00A739CE"/>
    <w:rsid w:val="00A73A1D"/>
    <w:rsid w:val="00A73CDE"/>
    <w:rsid w:val="00A74112"/>
    <w:rsid w:val="00A75962"/>
    <w:rsid w:val="00A75A74"/>
    <w:rsid w:val="00A75F2C"/>
    <w:rsid w:val="00A774A3"/>
    <w:rsid w:val="00A7771D"/>
    <w:rsid w:val="00A77E0D"/>
    <w:rsid w:val="00A80916"/>
    <w:rsid w:val="00A80D32"/>
    <w:rsid w:val="00A80E23"/>
    <w:rsid w:val="00A813EE"/>
    <w:rsid w:val="00A8152F"/>
    <w:rsid w:val="00A823EA"/>
    <w:rsid w:val="00A82529"/>
    <w:rsid w:val="00A8295A"/>
    <w:rsid w:val="00A82B50"/>
    <w:rsid w:val="00A8357E"/>
    <w:rsid w:val="00A83A36"/>
    <w:rsid w:val="00A8430A"/>
    <w:rsid w:val="00A84317"/>
    <w:rsid w:val="00A8432F"/>
    <w:rsid w:val="00A84DFC"/>
    <w:rsid w:val="00A8566D"/>
    <w:rsid w:val="00A85784"/>
    <w:rsid w:val="00A8722A"/>
    <w:rsid w:val="00A87670"/>
    <w:rsid w:val="00A87CAF"/>
    <w:rsid w:val="00A903A5"/>
    <w:rsid w:val="00A91712"/>
    <w:rsid w:val="00A91925"/>
    <w:rsid w:val="00A91A29"/>
    <w:rsid w:val="00A91C35"/>
    <w:rsid w:val="00A92151"/>
    <w:rsid w:val="00A92333"/>
    <w:rsid w:val="00A93318"/>
    <w:rsid w:val="00A93B6D"/>
    <w:rsid w:val="00A945F2"/>
    <w:rsid w:val="00A96678"/>
    <w:rsid w:val="00A969D8"/>
    <w:rsid w:val="00A96CFC"/>
    <w:rsid w:val="00A96DD9"/>
    <w:rsid w:val="00A96FFD"/>
    <w:rsid w:val="00A97B0D"/>
    <w:rsid w:val="00AA05C3"/>
    <w:rsid w:val="00AA0640"/>
    <w:rsid w:val="00AA0D5C"/>
    <w:rsid w:val="00AA13BF"/>
    <w:rsid w:val="00AA13DE"/>
    <w:rsid w:val="00AA1660"/>
    <w:rsid w:val="00AA16B6"/>
    <w:rsid w:val="00AA17C8"/>
    <w:rsid w:val="00AA18D7"/>
    <w:rsid w:val="00AA2DA3"/>
    <w:rsid w:val="00AA3712"/>
    <w:rsid w:val="00AA398C"/>
    <w:rsid w:val="00AA39EC"/>
    <w:rsid w:val="00AA3B7E"/>
    <w:rsid w:val="00AA4738"/>
    <w:rsid w:val="00AA5720"/>
    <w:rsid w:val="00AA61CC"/>
    <w:rsid w:val="00AA671A"/>
    <w:rsid w:val="00AA68E2"/>
    <w:rsid w:val="00AA6D2A"/>
    <w:rsid w:val="00AA739D"/>
    <w:rsid w:val="00AB0142"/>
    <w:rsid w:val="00AB06C0"/>
    <w:rsid w:val="00AB0C98"/>
    <w:rsid w:val="00AB1075"/>
    <w:rsid w:val="00AB1B3E"/>
    <w:rsid w:val="00AB1C0F"/>
    <w:rsid w:val="00AB25C1"/>
    <w:rsid w:val="00AB2801"/>
    <w:rsid w:val="00AB4389"/>
    <w:rsid w:val="00AB4482"/>
    <w:rsid w:val="00AB459D"/>
    <w:rsid w:val="00AB498F"/>
    <w:rsid w:val="00AB49AF"/>
    <w:rsid w:val="00AB6157"/>
    <w:rsid w:val="00AB6293"/>
    <w:rsid w:val="00AB659B"/>
    <w:rsid w:val="00AB6854"/>
    <w:rsid w:val="00AB7198"/>
    <w:rsid w:val="00AB72E6"/>
    <w:rsid w:val="00AC0CC9"/>
    <w:rsid w:val="00AC1957"/>
    <w:rsid w:val="00AC1B46"/>
    <w:rsid w:val="00AC1EB0"/>
    <w:rsid w:val="00AC1FCE"/>
    <w:rsid w:val="00AC22B3"/>
    <w:rsid w:val="00AC230B"/>
    <w:rsid w:val="00AC293D"/>
    <w:rsid w:val="00AC407D"/>
    <w:rsid w:val="00AC415F"/>
    <w:rsid w:val="00AC471C"/>
    <w:rsid w:val="00AC4F92"/>
    <w:rsid w:val="00AC4FF1"/>
    <w:rsid w:val="00AC64B7"/>
    <w:rsid w:val="00AD0582"/>
    <w:rsid w:val="00AD086C"/>
    <w:rsid w:val="00AD107F"/>
    <w:rsid w:val="00AD115A"/>
    <w:rsid w:val="00AD1309"/>
    <w:rsid w:val="00AD1C5F"/>
    <w:rsid w:val="00AD1E91"/>
    <w:rsid w:val="00AD2481"/>
    <w:rsid w:val="00AD25AB"/>
    <w:rsid w:val="00AD2974"/>
    <w:rsid w:val="00AD2C20"/>
    <w:rsid w:val="00AD3651"/>
    <w:rsid w:val="00AD39E8"/>
    <w:rsid w:val="00AD3A86"/>
    <w:rsid w:val="00AD402E"/>
    <w:rsid w:val="00AD456D"/>
    <w:rsid w:val="00AD45E5"/>
    <w:rsid w:val="00AD4ADB"/>
    <w:rsid w:val="00AD52F3"/>
    <w:rsid w:val="00AD555C"/>
    <w:rsid w:val="00AD5A72"/>
    <w:rsid w:val="00AD5AC8"/>
    <w:rsid w:val="00AD6268"/>
    <w:rsid w:val="00AD6AED"/>
    <w:rsid w:val="00AD6EB1"/>
    <w:rsid w:val="00AD7097"/>
    <w:rsid w:val="00AE094F"/>
    <w:rsid w:val="00AE124C"/>
    <w:rsid w:val="00AE19C3"/>
    <w:rsid w:val="00AE1F44"/>
    <w:rsid w:val="00AE2277"/>
    <w:rsid w:val="00AE36B2"/>
    <w:rsid w:val="00AE3A0F"/>
    <w:rsid w:val="00AE4793"/>
    <w:rsid w:val="00AE50A0"/>
    <w:rsid w:val="00AE60B3"/>
    <w:rsid w:val="00AE6395"/>
    <w:rsid w:val="00AE6AD1"/>
    <w:rsid w:val="00AF129A"/>
    <w:rsid w:val="00AF12BB"/>
    <w:rsid w:val="00AF1A34"/>
    <w:rsid w:val="00AF2264"/>
    <w:rsid w:val="00AF30E0"/>
    <w:rsid w:val="00AF38D7"/>
    <w:rsid w:val="00AF4C83"/>
    <w:rsid w:val="00AF5192"/>
    <w:rsid w:val="00AF5F66"/>
    <w:rsid w:val="00AF61B7"/>
    <w:rsid w:val="00AF65B3"/>
    <w:rsid w:val="00AF6827"/>
    <w:rsid w:val="00AF6A59"/>
    <w:rsid w:val="00AF7062"/>
    <w:rsid w:val="00AF718E"/>
    <w:rsid w:val="00B002E8"/>
    <w:rsid w:val="00B006BC"/>
    <w:rsid w:val="00B01BD2"/>
    <w:rsid w:val="00B02073"/>
    <w:rsid w:val="00B0237E"/>
    <w:rsid w:val="00B02FCC"/>
    <w:rsid w:val="00B03871"/>
    <w:rsid w:val="00B04165"/>
    <w:rsid w:val="00B04474"/>
    <w:rsid w:val="00B04846"/>
    <w:rsid w:val="00B05F9D"/>
    <w:rsid w:val="00B06525"/>
    <w:rsid w:val="00B06780"/>
    <w:rsid w:val="00B07508"/>
    <w:rsid w:val="00B0791E"/>
    <w:rsid w:val="00B07BF5"/>
    <w:rsid w:val="00B10719"/>
    <w:rsid w:val="00B10945"/>
    <w:rsid w:val="00B110BB"/>
    <w:rsid w:val="00B11198"/>
    <w:rsid w:val="00B123EC"/>
    <w:rsid w:val="00B12D81"/>
    <w:rsid w:val="00B134C7"/>
    <w:rsid w:val="00B1492D"/>
    <w:rsid w:val="00B14F9B"/>
    <w:rsid w:val="00B152C2"/>
    <w:rsid w:val="00B155BA"/>
    <w:rsid w:val="00B15909"/>
    <w:rsid w:val="00B15A7F"/>
    <w:rsid w:val="00B1667B"/>
    <w:rsid w:val="00B16D6B"/>
    <w:rsid w:val="00B16E7A"/>
    <w:rsid w:val="00B171B4"/>
    <w:rsid w:val="00B2064D"/>
    <w:rsid w:val="00B2082D"/>
    <w:rsid w:val="00B20B34"/>
    <w:rsid w:val="00B2130C"/>
    <w:rsid w:val="00B23040"/>
    <w:rsid w:val="00B2397F"/>
    <w:rsid w:val="00B24432"/>
    <w:rsid w:val="00B24A7D"/>
    <w:rsid w:val="00B24AA3"/>
    <w:rsid w:val="00B252F6"/>
    <w:rsid w:val="00B2641B"/>
    <w:rsid w:val="00B26551"/>
    <w:rsid w:val="00B2689B"/>
    <w:rsid w:val="00B26A43"/>
    <w:rsid w:val="00B26AF9"/>
    <w:rsid w:val="00B26D6D"/>
    <w:rsid w:val="00B27CD8"/>
    <w:rsid w:val="00B33078"/>
    <w:rsid w:val="00B3410E"/>
    <w:rsid w:val="00B341B2"/>
    <w:rsid w:val="00B35E9A"/>
    <w:rsid w:val="00B362D6"/>
    <w:rsid w:val="00B3649D"/>
    <w:rsid w:val="00B375DF"/>
    <w:rsid w:val="00B37E5A"/>
    <w:rsid w:val="00B4003C"/>
    <w:rsid w:val="00B40075"/>
    <w:rsid w:val="00B40DB2"/>
    <w:rsid w:val="00B4139B"/>
    <w:rsid w:val="00B427CF"/>
    <w:rsid w:val="00B42956"/>
    <w:rsid w:val="00B42AB0"/>
    <w:rsid w:val="00B4454B"/>
    <w:rsid w:val="00B44653"/>
    <w:rsid w:val="00B44A9D"/>
    <w:rsid w:val="00B46343"/>
    <w:rsid w:val="00B4745A"/>
    <w:rsid w:val="00B474A1"/>
    <w:rsid w:val="00B47AD0"/>
    <w:rsid w:val="00B500ED"/>
    <w:rsid w:val="00B50C7E"/>
    <w:rsid w:val="00B50DD2"/>
    <w:rsid w:val="00B511E1"/>
    <w:rsid w:val="00B51A5D"/>
    <w:rsid w:val="00B51C13"/>
    <w:rsid w:val="00B52350"/>
    <w:rsid w:val="00B52391"/>
    <w:rsid w:val="00B53273"/>
    <w:rsid w:val="00B53842"/>
    <w:rsid w:val="00B53872"/>
    <w:rsid w:val="00B54E51"/>
    <w:rsid w:val="00B550F4"/>
    <w:rsid w:val="00B55CFF"/>
    <w:rsid w:val="00B55EAE"/>
    <w:rsid w:val="00B57570"/>
    <w:rsid w:val="00B5764D"/>
    <w:rsid w:val="00B57863"/>
    <w:rsid w:val="00B6029A"/>
    <w:rsid w:val="00B60C81"/>
    <w:rsid w:val="00B60D4D"/>
    <w:rsid w:val="00B615A8"/>
    <w:rsid w:val="00B6184E"/>
    <w:rsid w:val="00B6221A"/>
    <w:rsid w:val="00B63274"/>
    <w:rsid w:val="00B636F5"/>
    <w:rsid w:val="00B63BBE"/>
    <w:rsid w:val="00B640CC"/>
    <w:rsid w:val="00B64754"/>
    <w:rsid w:val="00B64771"/>
    <w:rsid w:val="00B64EA2"/>
    <w:rsid w:val="00B65084"/>
    <w:rsid w:val="00B653BB"/>
    <w:rsid w:val="00B6585A"/>
    <w:rsid w:val="00B6748B"/>
    <w:rsid w:val="00B70211"/>
    <w:rsid w:val="00B72EC5"/>
    <w:rsid w:val="00B72FE0"/>
    <w:rsid w:val="00B74102"/>
    <w:rsid w:val="00B743D0"/>
    <w:rsid w:val="00B74F1E"/>
    <w:rsid w:val="00B74FD4"/>
    <w:rsid w:val="00B7523F"/>
    <w:rsid w:val="00B753B6"/>
    <w:rsid w:val="00B755A6"/>
    <w:rsid w:val="00B75A61"/>
    <w:rsid w:val="00B760EB"/>
    <w:rsid w:val="00B763A1"/>
    <w:rsid w:val="00B765D2"/>
    <w:rsid w:val="00B7672A"/>
    <w:rsid w:val="00B76892"/>
    <w:rsid w:val="00B76D49"/>
    <w:rsid w:val="00B77D84"/>
    <w:rsid w:val="00B8006C"/>
    <w:rsid w:val="00B804E0"/>
    <w:rsid w:val="00B80BC7"/>
    <w:rsid w:val="00B81032"/>
    <w:rsid w:val="00B815CE"/>
    <w:rsid w:val="00B81862"/>
    <w:rsid w:val="00B831B0"/>
    <w:rsid w:val="00B83864"/>
    <w:rsid w:val="00B83AAD"/>
    <w:rsid w:val="00B83FB7"/>
    <w:rsid w:val="00B8429D"/>
    <w:rsid w:val="00B85452"/>
    <w:rsid w:val="00B85AFE"/>
    <w:rsid w:val="00B85D83"/>
    <w:rsid w:val="00B85E69"/>
    <w:rsid w:val="00B86901"/>
    <w:rsid w:val="00B86ECA"/>
    <w:rsid w:val="00B872C7"/>
    <w:rsid w:val="00B87D4F"/>
    <w:rsid w:val="00B90853"/>
    <w:rsid w:val="00B90D9A"/>
    <w:rsid w:val="00B913A3"/>
    <w:rsid w:val="00B913F4"/>
    <w:rsid w:val="00B91676"/>
    <w:rsid w:val="00B91EF2"/>
    <w:rsid w:val="00B9295A"/>
    <w:rsid w:val="00B9390F"/>
    <w:rsid w:val="00B939F8"/>
    <w:rsid w:val="00B93CB7"/>
    <w:rsid w:val="00B944F6"/>
    <w:rsid w:val="00B945A9"/>
    <w:rsid w:val="00B947A5"/>
    <w:rsid w:val="00B94903"/>
    <w:rsid w:val="00B949BF"/>
    <w:rsid w:val="00B94AF9"/>
    <w:rsid w:val="00B94D7B"/>
    <w:rsid w:val="00B94EAA"/>
    <w:rsid w:val="00B953CA"/>
    <w:rsid w:val="00B95A43"/>
    <w:rsid w:val="00B95FB0"/>
    <w:rsid w:val="00B970D1"/>
    <w:rsid w:val="00B97423"/>
    <w:rsid w:val="00BA08D3"/>
    <w:rsid w:val="00BA1CCC"/>
    <w:rsid w:val="00BA2765"/>
    <w:rsid w:val="00BA2E34"/>
    <w:rsid w:val="00BA563E"/>
    <w:rsid w:val="00BA5B4F"/>
    <w:rsid w:val="00BA61FC"/>
    <w:rsid w:val="00BA6546"/>
    <w:rsid w:val="00BA6D37"/>
    <w:rsid w:val="00BB0070"/>
    <w:rsid w:val="00BB02E8"/>
    <w:rsid w:val="00BB05D9"/>
    <w:rsid w:val="00BB111D"/>
    <w:rsid w:val="00BB11E7"/>
    <w:rsid w:val="00BB2664"/>
    <w:rsid w:val="00BB2A12"/>
    <w:rsid w:val="00BB388B"/>
    <w:rsid w:val="00BB4E14"/>
    <w:rsid w:val="00BB5972"/>
    <w:rsid w:val="00BB6383"/>
    <w:rsid w:val="00BB6C15"/>
    <w:rsid w:val="00BB7345"/>
    <w:rsid w:val="00BB75CA"/>
    <w:rsid w:val="00BB7D0D"/>
    <w:rsid w:val="00BB7F66"/>
    <w:rsid w:val="00BC032D"/>
    <w:rsid w:val="00BC05DE"/>
    <w:rsid w:val="00BC081F"/>
    <w:rsid w:val="00BC2618"/>
    <w:rsid w:val="00BC3186"/>
    <w:rsid w:val="00BC389D"/>
    <w:rsid w:val="00BC3C64"/>
    <w:rsid w:val="00BC407E"/>
    <w:rsid w:val="00BC4A87"/>
    <w:rsid w:val="00BC5A5B"/>
    <w:rsid w:val="00BC5EFB"/>
    <w:rsid w:val="00BC6028"/>
    <w:rsid w:val="00BC65B5"/>
    <w:rsid w:val="00BC6AE5"/>
    <w:rsid w:val="00BD049F"/>
    <w:rsid w:val="00BD0DE0"/>
    <w:rsid w:val="00BD13C6"/>
    <w:rsid w:val="00BD2206"/>
    <w:rsid w:val="00BD2229"/>
    <w:rsid w:val="00BD2C3C"/>
    <w:rsid w:val="00BD33DD"/>
    <w:rsid w:val="00BD35EF"/>
    <w:rsid w:val="00BD3D87"/>
    <w:rsid w:val="00BD5D4A"/>
    <w:rsid w:val="00BD5F89"/>
    <w:rsid w:val="00BD6210"/>
    <w:rsid w:val="00BD676B"/>
    <w:rsid w:val="00BD733A"/>
    <w:rsid w:val="00BD7C06"/>
    <w:rsid w:val="00BE02D9"/>
    <w:rsid w:val="00BE060C"/>
    <w:rsid w:val="00BE0BD6"/>
    <w:rsid w:val="00BE0D28"/>
    <w:rsid w:val="00BE17AB"/>
    <w:rsid w:val="00BE2509"/>
    <w:rsid w:val="00BE2819"/>
    <w:rsid w:val="00BE2A2C"/>
    <w:rsid w:val="00BE2AAF"/>
    <w:rsid w:val="00BE346C"/>
    <w:rsid w:val="00BE3A33"/>
    <w:rsid w:val="00BE3B56"/>
    <w:rsid w:val="00BE3E73"/>
    <w:rsid w:val="00BE46C1"/>
    <w:rsid w:val="00BE4FD3"/>
    <w:rsid w:val="00BE626C"/>
    <w:rsid w:val="00BE6478"/>
    <w:rsid w:val="00BE7431"/>
    <w:rsid w:val="00BE7AD9"/>
    <w:rsid w:val="00BF04C3"/>
    <w:rsid w:val="00BF157F"/>
    <w:rsid w:val="00BF198D"/>
    <w:rsid w:val="00BF2462"/>
    <w:rsid w:val="00BF2D05"/>
    <w:rsid w:val="00BF2ED2"/>
    <w:rsid w:val="00BF2F28"/>
    <w:rsid w:val="00BF2FFB"/>
    <w:rsid w:val="00BF46A5"/>
    <w:rsid w:val="00BF47AA"/>
    <w:rsid w:val="00BF4943"/>
    <w:rsid w:val="00BF4A3B"/>
    <w:rsid w:val="00BF4A77"/>
    <w:rsid w:val="00BF57BA"/>
    <w:rsid w:val="00BF5891"/>
    <w:rsid w:val="00BF5FE7"/>
    <w:rsid w:val="00BF6DEF"/>
    <w:rsid w:val="00BF6F52"/>
    <w:rsid w:val="00BF798D"/>
    <w:rsid w:val="00C0015E"/>
    <w:rsid w:val="00C00175"/>
    <w:rsid w:val="00C00352"/>
    <w:rsid w:val="00C00630"/>
    <w:rsid w:val="00C00708"/>
    <w:rsid w:val="00C009C8"/>
    <w:rsid w:val="00C00A5B"/>
    <w:rsid w:val="00C00FA2"/>
    <w:rsid w:val="00C00FC2"/>
    <w:rsid w:val="00C0138A"/>
    <w:rsid w:val="00C02E7F"/>
    <w:rsid w:val="00C02EBB"/>
    <w:rsid w:val="00C06574"/>
    <w:rsid w:val="00C06E4D"/>
    <w:rsid w:val="00C07982"/>
    <w:rsid w:val="00C07BB9"/>
    <w:rsid w:val="00C10B83"/>
    <w:rsid w:val="00C10B84"/>
    <w:rsid w:val="00C10BF9"/>
    <w:rsid w:val="00C10D01"/>
    <w:rsid w:val="00C10D7E"/>
    <w:rsid w:val="00C11B21"/>
    <w:rsid w:val="00C11B37"/>
    <w:rsid w:val="00C11CAD"/>
    <w:rsid w:val="00C12EEB"/>
    <w:rsid w:val="00C1324D"/>
    <w:rsid w:val="00C132F6"/>
    <w:rsid w:val="00C1350C"/>
    <w:rsid w:val="00C1382B"/>
    <w:rsid w:val="00C14B94"/>
    <w:rsid w:val="00C15167"/>
    <w:rsid w:val="00C15203"/>
    <w:rsid w:val="00C15D62"/>
    <w:rsid w:val="00C1678F"/>
    <w:rsid w:val="00C16B53"/>
    <w:rsid w:val="00C16D12"/>
    <w:rsid w:val="00C17B61"/>
    <w:rsid w:val="00C17D1D"/>
    <w:rsid w:val="00C17FCB"/>
    <w:rsid w:val="00C21112"/>
    <w:rsid w:val="00C21469"/>
    <w:rsid w:val="00C22010"/>
    <w:rsid w:val="00C22241"/>
    <w:rsid w:val="00C22248"/>
    <w:rsid w:val="00C228EF"/>
    <w:rsid w:val="00C23045"/>
    <w:rsid w:val="00C233CE"/>
    <w:rsid w:val="00C23825"/>
    <w:rsid w:val="00C24E7C"/>
    <w:rsid w:val="00C2501C"/>
    <w:rsid w:val="00C2586C"/>
    <w:rsid w:val="00C25BB4"/>
    <w:rsid w:val="00C26708"/>
    <w:rsid w:val="00C269C0"/>
    <w:rsid w:val="00C26E5A"/>
    <w:rsid w:val="00C27577"/>
    <w:rsid w:val="00C2770F"/>
    <w:rsid w:val="00C27989"/>
    <w:rsid w:val="00C30142"/>
    <w:rsid w:val="00C30517"/>
    <w:rsid w:val="00C30F72"/>
    <w:rsid w:val="00C31097"/>
    <w:rsid w:val="00C31DC5"/>
    <w:rsid w:val="00C32667"/>
    <w:rsid w:val="00C34127"/>
    <w:rsid w:val="00C342C1"/>
    <w:rsid w:val="00C350ED"/>
    <w:rsid w:val="00C35451"/>
    <w:rsid w:val="00C35FDC"/>
    <w:rsid w:val="00C3603D"/>
    <w:rsid w:val="00C370D2"/>
    <w:rsid w:val="00C37790"/>
    <w:rsid w:val="00C3782F"/>
    <w:rsid w:val="00C37942"/>
    <w:rsid w:val="00C37A67"/>
    <w:rsid w:val="00C37B06"/>
    <w:rsid w:val="00C40E71"/>
    <w:rsid w:val="00C41129"/>
    <w:rsid w:val="00C41657"/>
    <w:rsid w:val="00C41C54"/>
    <w:rsid w:val="00C428A8"/>
    <w:rsid w:val="00C4318E"/>
    <w:rsid w:val="00C43BF0"/>
    <w:rsid w:val="00C44012"/>
    <w:rsid w:val="00C44243"/>
    <w:rsid w:val="00C449D2"/>
    <w:rsid w:val="00C44DF0"/>
    <w:rsid w:val="00C46386"/>
    <w:rsid w:val="00C46AF3"/>
    <w:rsid w:val="00C46CFF"/>
    <w:rsid w:val="00C470D7"/>
    <w:rsid w:val="00C47A56"/>
    <w:rsid w:val="00C50EF4"/>
    <w:rsid w:val="00C517EB"/>
    <w:rsid w:val="00C5239D"/>
    <w:rsid w:val="00C5281F"/>
    <w:rsid w:val="00C52A61"/>
    <w:rsid w:val="00C5329F"/>
    <w:rsid w:val="00C5586F"/>
    <w:rsid w:val="00C565A8"/>
    <w:rsid w:val="00C565C2"/>
    <w:rsid w:val="00C5670E"/>
    <w:rsid w:val="00C574AC"/>
    <w:rsid w:val="00C57807"/>
    <w:rsid w:val="00C57922"/>
    <w:rsid w:val="00C60A30"/>
    <w:rsid w:val="00C60CA6"/>
    <w:rsid w:val="00C6153D"/>
    <w:rsid w:val="00C6160A"/>
    <w:rsid w:val="00C61CC1"/>
    <w:rsid w:val="00C6269E"/>
    <w:rsid w:val="00C628B7"/>
    <w:rsid w:val="00C62C64"/>
    <w:rsid w:val="00C62ECD"/>
    <w:rsid w:val="00C637BB"/>
    <w:rsid w:val="00C6392D"/>
    <w:rsid w:val="00C654A3"/>
    <w:rsid w:val="00C65CF8"/>
    <w:rsid w:val="00C660D6"/>
    <w:rsid w:val="00C66ED9"/>
    <w:rsid w:val="00C66F00"/>
    <w:rsid w:val="00C67C62"/>
    <w:rsid w:val="00C67C64"/>
    <w:rsid w:val="00C67CA0"/>
    <w:rsid w:val="00C67E7F"/>
    <w:rsid w:val="00C705E3"/>
    <w:rsid w:val="00C70BC2"/>
    <w:rsid w:val="00C71245"/>
    <w:rsid w:val="00C7136D"/>
    <w:rsid w:val="00C71954"/>
    <w:rsid w:val="00C71AFD"/>
    <w:rsid w:val="00C71E71"/>
    <w:rsid w:val="00C72352"/>
    <w:rsid w:val="00C72611"/>
    <w:rsid w:val="00C73AF7"/>
    <w:rsid w:val="00C74A15"/>
    <w:rsid w:val="00C75889"/>
    <w:rsid w:val="00C75904"/>
    <w:rsid w:val="00C75C5C"/>
    <w:rsid w:val="00C77242"/>
    <w:rsid w:val="00C77DEC"/>
    <w:rsid w:val="00C8063B"/>
    <w:rsid w:val="00C80D1C"/>
    <w:rsid w:val="00C82CD4"/>
    <w:rsid w:val="00C83A30"/>
    <w:rsid w:val="00C83BB7"/>
    <w:rsid w:val="00C86187"/>
    <w:rsid w:val="00C86A23"/>
    <w:rsid w:val="00C9028D"/>
    <w:rsid w:val="00C907F7"/>
    <w:rsid w:val="00C90E2B"/>
    <w:rsid w:val="00C90E6F"/>
    <w:rsid w:val="00C91019"/>
    <w:rsid w:val="00C91836"/>
    <w:rsid w:val="00C91A55"/>
    <w:rsid w:val="00C9212D"/>
    <w:rsid w:val="00C923B7"/>
    <w:rsid w:val="00C9445A"/>
    <w:rsid w:val="00C94720"/>
    <w:rsid w:val="00C950DC"/>
    <w:rsid w:val="00C95622"/>
    <w:rsid w:val="00C95B95"/>
    <w:rsid w:val="00C96FED"/>
    <w:rsid w:val="00C97206"/>
    <w:rsid w:val="00C97DFB"/>
    <w:rsid w:val="00CA085C"/>
    <w:rsid w:val="00CA0C1F"/>
    <w:rsid w:val="00CA1C0D"/>
    <w:rsid w:val="00CA1CEF"/>
    <w:rsid w:val="00CA1FF3"/>
    <w:rsid w:val="00CA3681"/>
    <w:rsid w:val="00CA372F"/>
    <w:rsid w:val="00CA38CC"/>
    <w:rsid w:val="00CA3AB5"/>
    <w:rsid w:val="00CA40D0"/>
    <w:rsid w:val="00CA45F2"/>
    <w:rsid w:val="00CA6C2B"/>
    <w:rsid w:val="00CA70E6"/>
    <w:rsid w:val="00CA7136"/>
    <w:rsid w:val="00CA7913"/>
    <w:rsid w:val="00CB01BB"/>
    <w:rsid w:val="00CB06BD"/>
    <w:rsid w:val="00CB131A"/>
    <w:rsid w:val="00CB1E24"/>
    <w:rsid w:val="00CB2246"/>
    <w:rsid w:val="00CB2310"/>
    <w:rsid w:val="00CB2B9D"/>
    <w:rsid w:val="00CB2CBB"/>
    <w:rsid w:val="00CB34A5"/>
    <w:rsid w:val="00CB3C30"/>
    <w:rsid w:val="00CB3EB6"/>
    <w:rsid w:val="00CB3EDD"/>
    <w:rsid w:val="00CB3F21"/>
    <w:rsid w:val="00CB3F39"/>
    <w:rsid w:val="00CB4551"/>
    <w:rsid w:val="00CB4F3C"/>
    <w:rsid w:val="00CB4FF2"/>
    <w:rsid w:val="00CB56C6"/>
    <w:rsid w:val="00CB611B"/>
    <w:rsid w:val="00CB62AC"/>
    <w:rsid w:val="00CB6F89"/>
    <w:rsid w:val="00CB71D6"/>
    <w:rsid w:val="00CB75C1"/>
    <w:rsid w:val="00CB7A9F"/>
    <w:rsid w:val="00CC02A0"/>
    <w:rsid w:val="00CC06B5"/>
    <w:rsid w:val="00CC1829"/>
    <w:rsid w:val="00CC26D1"/>
    <w:rsid w:val="00CC2764"/>
    <w:rsid w:val="00CC2D16"/>
    <w:rsid w:val="00CC2ED7"/>
    <w:rsid w:val="00CC2FAF"/>
    <w:rsid w:val="00CC38F9"/>
    <w:rsid w:val="00CC4202"/>
    <w:rsid w:val="00CC4DDD"/>
    <w:rsid w:val="00CC4F9D"/>
    <w:rsid w:val="00CC503A"/>
    <w:rsid w:val="00CC5076"/>
    <w:rsid w:val="00CC54FA"/>
    <w:rsid w:val="00CC5C69"/>
    <w:rsid w:val="00CC7691"/>
    <w:rsid w:val="00CD069A"/>
    <w:rsid w:val="00CD08EF"/>
    <w:rsid w:val="00CD0BC2"/>
    <w:rsid w:val="00CD13B4"/>
    <w:rsid w:val="00CD16BB"/>
    <w:rsid w:val="00CD2E96"/>
    <w:rsid w:val="00CD2F21"/>
    <w:rsid w:val="00CD3CC8"/>
    <w:rsid w:val="00CD4492"/>
    <w:rsid w:val="00CD4E88"/>
    <w:rsid w:val="00CD58F2"/>
    <w:rsid w:val="00CD5E41"/>
    <w:rsid w:val="00CD6234"/>
    <w:rsid w:val="00CD628B"/>
    <w:rsid w:val="00CD6D93"/>
    <w:rsid w:val="00CD76C0"/>
    <w:rsid w:val="00CD7D3A"/>
    <w:rsid w:val="00CD7DBD"/>
    <w:rsid w:val="00CE075F"/>
    <w:rsid w:val="00CE139E"/>
    <w:rsid w:val="00CE1535"/>
    <w:rsid w:val="00CE1E08"/>
    <w:rsid w:val="00CE2A9D"/>
    <w:rsid w:val="00CE2DFA"/>
    <w:rsid w:val="00CE2E80"/>
    <w:rsid w:val="00CE3E4F"/>
    <w:rsid w:val="00CE41A3"/>
    <w:rsid w:val="00CE5A9C"/>
    <w:rsid w:val="00CE5B5C"/>
    <w:rsid w:val="00CE6E65"/>
    <w:rsid w:val="00CE7146"/>
    <w:rsid w:val="00CE7345"/>
    <w:rsid w:val="00CF006C"/>
    <w:rsid w:val="00CF0A3D"/>
    <w:rsid w:val="00CF1290"/>
    <w:rsid w:val="00CF20AD"/>
    <w:rsid w:val="00CF33B0"/>
    <w:rsid w:val="00CF365C"/>
    <w:rsid w:val="00CF39F1"/>
    <w:rsid w:val="00CF4125"/>
    <w:rsid w:val="00CF63FB"/>
    <w:rsid w:val="00CF6B6F"/>
    <w:rsid w:val="00CF6BAB"/>
    <w:rsid w:val="00CF73C4"/>
    <w:rsid w:val="00CF7CA9"/>
    <w:rsid w:val="00CF7E82"/>
    <w:rsid w:val="00D0063C"/>
    <w:rsid w:val="00D008F9"/>
    <w:rsid w:val="00D0092A"/>
    <w:rsid w:val="00D01279"/>
    <w:rsid w:val="00D027A2"/>
    <w:rsid w:val="00D02A56"/>
    <w:rsid w:val="00D02C94"/>
    <w:rsid w:val="00D02E36"/>
    <w:rsid w:val="00D03511"/>
    <w:rsid w:val="00D03CF4"/>
    <w:rsid w:val="00D048F8"/>
    <w:rsid w:val="00D05828"/>
    <w:rsid w:val="00D05ECA"/>
    <w:rsid w:val="00D060B2"/>
    <w:rsid w:val="00D06276"/>
    <w:rsid w:val="00D0662E"/>
    <w:rsid w:val="00D072DE"/>
    <w:rsid w:val="00D07784"/>
    <w:rsid w:val="00D101AF"/>
    <w:rsid w:val="00D10637"/>
    <w:rsid w:val="00D11814"/>
    <w:rsid w:val="00D1250C"/>
    <w:rsid w:val="00D1272E"/>
    <w:rsid w:val="00D12E5A"/>
    <w:rsid w:val="00D12F45"/>
    <w:rsid w:val="00D13E73"/>
    <w:rsid w:val="00D14850"/>
    <w:rsid w:val="00D14A57"/>
    <w:rsid w:val="00D1522E"/>
    <w:rsid w:val="00D15E11"/>
    <w:rsid w:val="00D1626A"/>
    <w:rsid w:val="00D169CB"/>
    <w:rsid w:val="00D16E6E"/>
    <w:rsid w:val="00D1785C"/>
    <w:rsid w:val="00D17C52"/>
    <w:rsid w:val="00D20057"/>
    <w:rsid w:val="00D20730"/>
    <w:rsid w:val="00D2085C"/>
    <w:rsid w:val="00D211B9"/>
    <w:rsid w:val="00D21694"/>
    <w:rsid w:val="00D21B3E"/>
    <w:rsid w:val="00D21D71"/>
    <w:rsid w:val="00D22AF1"/>
    <w:rsid w:val="00D2301C"/>
    <w:rsid w:val="00D230CD"/>
    <w:rsid w:val="00D2420D"/>
    <w:rsid w:val="00D248E2"/>
    <w:rsid w:val="00D24A2F"/>
    <w:rsid w:val="00D24D41"/>
    <w:rsid w:val="00D2508B"/>
    <w:rsid w:val="00D25547"/>
    <w:rsid w:val="00D25CEE"/>
    <w:rsid w:val="00D26972"/>
    <w:rsid w:val="00D270EC"/>
    <w:rsid w:val="00D27358"/>
    <w:rsid w:val="00D2765D"/>
    <w:rsid w:val="00D27C93"/>
    <w:rsid w:val="00D3049B"/>
    <w:rsid w:val="00D305EE"/>
    <w:rsid w:val="00D30CB2"/>
    <w:rsid w:val="00D30CCB"/>
    <w:rsid w:val="00D30E1D"/>
    <w:rsid w:val="00D31356"/>
    <w:rsid w:val="00D31484"/>
    <w:rsid w:val="00D31504"/>
    <w:rsid w:val="00D31C8F"/>
    <w:rsid w:val="00D31DA6"/>
    <w:rsid w:val="00D3238B"/>
    <w:rsid w:val="00D32669"/>
    <w:rsid w:val="00D32933"/>
    <w:rsid w:val="00D32F55"/>
    <w:rsid w:val="00D34270"/>
    <w:rsid w:val="00D3436B"/>
    <w:rsid w:val="00D35751"/>
    <w:rsid w:val="00D359B7"/>
    <w:rsid w:val="00D35F74"/>
    <w:rsid w:val="00D36174"/>
    <w:rsid w:val="00D3626E"/>
    <w:rsid w:val="00D368AE"/>
    <w:rsid w:val="00D373D5"/>
    <w:rsid w:val="00D374A2"/>
    <w:rsid w:val="00D379A4"/>
    <w:rsid w:val="00D37B21"/>
    <w:rsid w:val="00D37DA8"/>
    <w:rsid w:val="00D40332"/>
    <w:rsid w:val="00D40935"/>
    <w:rsid w:val="00D40B74"/>
    <w:rsid w:val="00D40F06"/>
    <w:rsid w:val="00D4200D"/>
    <w:rsid w:val="00D42B5F"/>
    <w:rsid w:val="00D439AA"/>
    <w:rsid w:val="00D43CE5"/>
    <w:rsid w:val="00D4470C"/>
    <w:rsid w:val="00D44DAE"/>
    <w:rsid w:val="00D45382"/>
    <w:rsid w:val="00D455C2"/>
    <w:rsid w:val="00D460AF"/>
    <w:rsid w:val="00D468ED"/>
    <w:rsid w:val="00D478C9"/>
    <w:rsid w:val="00D5126A"/>
    <w:rsid w:val="00D513AC"/>
    <w:rsid w:val="00D528BD"/>
    <w:rsid w:val="00D52AC2"/>
    <w:rsid w:val="00D52EC2"/>
    <w:rsid w:val="00D53969"/>
    <w:rsid w:val="00D53CCB"/>
    <w:rsid w:val="00D54116"/>
    <w:rsid w:val="00D542C2"/>
    <w:rsid w:val="00D54775"/>
    <w:rsid w:val="00D547F1"/>
    <w:rsid w:val="00D54E68"/>
    <w:rsid w:val="00D55444"/>
    <w:rsid w:val="00D56771"/>
    <w:rsid w:val="00D56F33"/>
    <w:rsid w:val="00D574F0"/>
    <w:rsid w:val="00D57841"/>
    <w:rsid w:val="00D57AA3"/>
    <w:rsid w:val="00D57D8B"/>
    <w:rsid w:val="00D57F68"/>
    <w:rsid w:val="00D601E6"/>
    <w:rsid w:val="00D608BB"/>
    <w:rsid w:val="00D60CCE"/>
    <w:rsid w:val="00D6120E"/>
    <w:rsid w:val="00D6199D"/>
    <w:rsid w:val="00D62575"/>
    <w:rsid w:val="00D6286C"/>
    <w:rsid w:val="00D63116"/>
    <w:rsid w:val="00D63561"/>
    <w:rsid w:val="00D63CF7"/>
    <w:rsid w:val="00D64056"/>
    <w:rsid w:val="00D6456B"/>
    <w:rsid w:val="00D65238"/>
    <w:rsid w:val="00D654EF"/>
    <w:rsid w:val="00D65A8A"/>
    <w:rsid w:val="00D66B93"/>
    <w:rsid w:val="00D6715C"/>
    <w:rsid w:val="00D7039A"/>
    <w:rsid w:val="00D70641"/>
    <w:rsid w:val="00D70B8E"/>
    <w:rsid w:val="00D70FE8"/>
    <w:rsid w:val="00D710EF"/>
    <w:rsid w:val="00D71418"/>
    <w:rsid w:val="00D71B85"/>
    <w:rsid w:val="00D728F0"/>
    <w:rsid w:val="00D72DC2"/>
    <w:rsid w:val="00D73D09"/>
    <w:rsid w:val="00D74B7B"/>
    <w:rsid w:val="00D74C7A"/>
    <w:rsid w:val="00D74E38"/>
    <w:rsid w:val="00D75052"/>
    <w:rsid w:val="00D75428"/>
    <w:rsid w:val="00D76116"/>
    <w:rsid w:val="00D76C37"/>
    <w:rsid w:val="00D779EF"/>
    <w:rsid w:val="00D80418"/>
    <w:rsid w:val="00D807DB"/>
    <w:rsid w:val="00D80C33"/>
    <w:rsid w:val="00D8112A"/>
    <w:rsid w:val="00D841EC"/>
    <w:rsid w:val="00D84878"/>
    <w:rsid w:val="00D86074"/>
    <w:rsid w:val="00D87309"/>
    <w:rsid w:val="00D87CF6"/>
    <w:rsid w:val="00D90DD6"/>
    <w:rsid w:val="00D94188"/>
    <w:rsid w:val="00D946F5"/>
    <w:rsid w:val="00D962C6"/>
    <w:rsid w:val="00D9748C"/>
    <w:rsid w:val="00D97AFF"/>
    <w:rsid w:val="00DA0C14"/>
    <w:rsid w:val="00DA0CFA"/>
    <w:rsid w:val="00DA230A"/>
    <w:rsid w:val="00DA2642"/>
    <w:rsid w:val="00DA2BFB"/>
    <w:rsid w:val="00DA381C"/>
    <w:rsid w:val="00DA5349"/>
    <w:rsid w:val="00DA66BA"/>
    <w:rsid w:val="00DA6862"/>
    <w:rsid w:val="00DA6A53"/>
    <w:rsid w:val="00DA6AD0"/>
    <w:rsid w:val="00DA6EFA"/>
    <w:rsid w:val="00DA789B"/>
    <w:rsid w:val="00DB01FE"/>
    <w:rsid w:val="00DB0614"/>
    <w:rsid w:val="00DB0C8A"/>
    <w:rsid w:val="00DB1094"/>
    <w:rsid w:val="00DB1F20"/>
    <w:rsid w:val="00DB32CC"/>
    <w:rsid w:val="00DB3D3C"/>
    <w:rsid w:val="00DB40C2"/>
    <w:rsid w:val="00DB4150"/>
    <w:rsid w:val="00DB4627"/>
    <w:rsid w:val="00DB4671"/>
    <w:rsid w:val="00DB496A"/>
    <w:rsid w:val="00DB4F84"/>
    <w:rsid w:val="00DB5786"/>
    <w:rsid w:val="00DB5C02"/>
    <w:rsid w:val="00DB6BDD"/>
    <w:rsid w:val="00DB6EB6"/>
    <w:rsid w:val="00DB7263"/>
    <w:rsid w:val="00DB7AD2"/>
    <w:rsid w:val="00DC0B88"/>
    <w:rsid w:val="00DC0ECC"/>
    <w:rsid w:val="00DC141F"/>
    <w:rsid w:val="00DC1AB1"/>
    <w:rsid w:val="00DC1CB2"/>
    <w:rsid w:val="00DC22E1"/>
    <w:rsid w:val="00DC399E"/>
    <w:rsid w:val="00DC3E48"/>
    <w:rsid w:val="00DC4113"/>
    <w:rsid w:val="00DC7543"/>
    <w:rsid w:val="00DC7B84"/>
    <w:rsid w:val="00DD1CA8"/>
    <w:rsid w:val="00DD1E11"/>
    <w:rsid w:val="00DD2B9A"/>
    <w:rsid w:val="00DD2D29"/>
    <w:rsid w:val="00DD453A"/>
    <w:rsid w:val="00DD4810"/>
    <w:rsid w:val="00DD4E1F"/>
    <w:rsid w:val="00DD56A1"/>
    <w:rsid w:val="00DD6AAE"/>
    <w:rsid w:val="00DD7D4F"/>
    <w:rsid w:val="00DE1429"/>
    <w:rsid w:val="00DE2B12"/>
    <w:rsid w:val="00DE4AC0"/>
    <w:rsid w:val="00DE5179"/>
    <w:rsid w:val="00DE57E4"/>
    <w:rsid w:val="00DE6650"/>
    <w:rsid w:val="00DE6D68"/>
    <w:rsid w:val="00DE7118"/>
    <w:rsid w:val="00DE7C97"/>
    <w:rsid w:val="00DF073F"/>
    <w:rsid w:val="00DF46CC"/>
    <w:rsid w:val="00DF51D5"/>
    <w:rsid w:val="00DF5263"/>
    <w:rsid w:val="00DF5356"/>
    <w:rsid w:val="00DF5D8D"/>
    <w:rsid w:val="00DF66D4"/>
    <w:rsid w:val="00DF69B8"/>
    <w:rsid w:val="00DF7363"/>
    <w:rsid w:val="00DF7C95"/>
    <w:rsid w:val="00DF7F8C"/>
    <w:rsid w:val="00E004DB"/>
    <w:rsid w:val="00E01F1D"/>
    <w:rsid w:val="00E0308F"/>
    <w:rsid w:val="00E03CA4"/>
    <w:rsid w:val="00E04436"/>
    <w:rsid w:val="00E054D8"/>
    <w:rsid w:val="00E056A7"/>
    <w:rsid w:val="00E056F6"/>
    <w:rsid w:val="00E05D8C"/>
    <w:rsid w:val="00E05FA1"/>
    <w:rsid w:val="00E0668A"/>
    <w:rsid w:val="00E06734"/>
    <w:rsid w:val="00E079D6"/>
    <w:rsid w:val="00E07C8A"/>
    <w:rsid w:val="00E07F63"/>
    <w:rsid w:val="00E1119D"/>
    <w:rsid w:val="00E1134C"/>
    <w:rsid w:val="00E12010"/>
    <w:rsid w:val="00E123F0"/>
    <w:rsid w:val="00E1263E"/>
    <w:rsid w:val="00E12AC3"/>
    <w:rsid w:val="00E12D0B"/>
    <w:rsid w:val="00E1345F"/>
    <w:rsid w:val="00E13F45"/>
    <w:rsid w:val="00E1474D"/>
    <w:rsid w:val="00E147A9"/>
    <w:rsid w:val="00E15481"/>
    <w:rsid w:val="00E15594"/>
    <w:rsid w:val="00E15BAD"/>
    <w:rsid w:val="00E15F1B"/>
    <w:rsid w:val="00E15F60"/>
    <w:rsid w:val="00E16FB7"/>
    <w:rsid w:val="00E1750F"/>
    <w:rsid w:val="00E177DE"/>
    <w:rsid w:val="00E17AEA"/>
    <w:rsid w:val="00E213D2"/>
    <w:rsid w:val="00E21C4D"/>
    <w:rsid w:val="00E21CFA"/>
    <w:rsid w:val="00E23EB9"/>
    <w:rsid w:val="00E241FB"/>
    <w:rsid w:val="00E248A2"/>
    <w:rsid w:val="00E250ED"/>
    <w:rsid w:val="00E255D5"/>
    <w:rsid w:val="00E25975"/>
    <w:rsid w:val="00E259BE"/>
    <w:rsid w:val="00E27104"/>
    <w:rsid w:val="00E27524"/>
    <w:rsid w:val="00E27DFA"/>
    <w:rsid w:val="00E3086F"/>
    <w:rsid w:val="00E30EA3"/>
    <w:rsid w:val="00E31004"/>
    <w:rsid w:val="00E32348"/>
    <w:rsid w:val="00E32458"/>
    <w:rsid w:val="00E3265C"/>
    <w:rsid w:val="00E32A3A"/>
    <w:rsid w:val="00E3356E"/>
    <w:rsid w:val="00E34BC7"/>
    <w:rsid w:val="00E34FD5"/>
    <w:rsid w:val="00E3516F"/>
    <w:rsid w:val="00E352EA"/>
    <w:rsid w:val="00E354D5"/>
    <w:rsid w:val="00E35702"/>
    <w:rsid w:val="00E35DED"/>
    <w:rsid w:val="00E3692F"/>
    <w:rsid w:val="00E370F8"/>
    <w:rsid w:val="00E3742B"/>
    <w:rsid w:val="00E405F4"/>
    <w:rsid w:val="00E40AE8"/>
    <w:rsid w:val="00E41018"/>
    <w:rsid w:val="00E41971"/>
    <w:rsid w:val="00E41BBF"/>
    <w:rsid w:val="00E420D9"/>
    <w:rsid w:val="00E43AD4"/>
    <w:rsid w:val="00E43E59"/>
    <w:rsid w:val="00E44659"/>
    <w:rsid w:val="00E44DF1"/>
    <w:rsid w:val="00E44E21"/>
    <w:rsid w:val="00E451B3"/>
    <w:rsid w:val="00E45449"/>
    <w:rsid w:val="00E46010"/>
    <w:rsid w:val="00E46C08"/>
    <w:rsid w:val="00E4747E"/>
    <w:rsid w:val="00E47770"/>
    <w:rsid w:val="00E47F71"/>
    <w:rsid w:val="00E504DC"/>
    <w:rsid w:val="00E50673"/>
    <w:rsid w:val="00E5122F"/>
    <w:rsid w:val="00E5225B"/>
    <w:rsid w:val="00E52639"/>
    <w:rsid w:val="00E53290"/>
    <w:rsid w:val="00E53750"/>
    <w:rsid w:val="00E53B01"/>
    <w:rsid w:val="00E53C4F"/>
    <w:rsid w:val="00E542BC"/>
    <w:rsid w:val="00E54569"/>
    <w:rsid w:val="00E5495D"/>
    <w:rsid w:val="00E54DD7"/>
    <w:rsid w:val="00E55B72"/>
    <w:rsid w:val="00E56078"/>
    <w:rsid w:val="00E5706E"/>
    <w:rsid w:val="00E5766D"/>
    <w:rsid w:val="00E61352"/>
    <w:rsid w:val="00E61BA7"/>
    <w:rsid w:val="00E62790"/>
    <w:rsid w:val="00E62DFC"/>
    <w:rsid w:val="00E637E8"/>
    <w:rsid w:val="00E637EF"/>
    <w:rsid w:val="00E639CB"/>
    <w:rsid w:val="00E63E57"/>
    <w:rsid w:val="00E64A30"/>
    <w:rsid w:val="00E66ED9"/>
    <w:rsid w:val="00E6730D"/>
    <w:rsid w:val="00E678A8"/>
    <w:rsid w:val="00E679F6"/>
    <w:rsid w:val="00E67C54"/>
    <w:rsid w:val="00E67E9B"/>
    <w:rsid w:val="00E70AB9"/>
    <w:rsid w:val="00E70D5F"/>
    <w:rsid w:val="00E712C3"/>
    <w:rsid w:val="00E71388"/>
    <w:rsid w:val="00E71F8E"/>
    <w:rsid w:val="00E723A6"/>
    <w:rsid w:val="00E726B7"/>
    <w:rsid w:val="00E7299E"/>
    <w:rsid w:val="00E72CF0"/>
    <w:rsid w:val="00E7337C"/>
    <w:rsid w:val="00E735A6"/>
    <w:rsid w:val="00E741E4"/>
    <w:rsid w:val="00E74653"/>
    <w:rsid w:val="00E74CAD"/>
    <w:rsid w:val="00E7591C"/>
    <w:rsid w:val="00E763F2"/>
    <w:rsid w:val="00E76848"/>
    <w:rsid w:val="00E76A2D"/>
    <w:rsid w:val="00E77056"/>
    <w:rsid w:val="00E7710E"/>
    <w:rsid w:val="00E77700"/>
    <w:rsid w:val="00E777C1"/>
    <w:rsid w:val="00E77C8D"/>
    <w:rsid w:val="00E807AF"/>
    <w:rsid w:val="00E80C37"/>
    <w:rsid w:val="00E80EE3"/>
    <w:rsid w:val="00E81B73"/>
    <w:rsid w:val="00E823F3"/>
    <w:rsid w:val="00E82667"/>
    <w:rsid w:val="00E82E84"/>
    <w:rsid w:val="00E84B18"/>
    <w:rsid w:val="00E84EF6"/>
    <w:rsid w:val="00E8508C"/>
    <w:rsid w:val="00E85154"/>
    <w:rsid w:val="00E85933"/>
    <w:rsid w:val="00E85A06"/>
    <w:rsid w:val="00E85C82"/>
    <w:rsid w:val="00E861C6"/>
    <w:rsid w:val="00E8675E"/>
    <w:rsid w:val="00E86E73"/>
    <w:rsid w:val="00E871D2"/>
    <w:rsid w:val="00E87559"/>
    <w:rsid w:val="00E87CBB"/>
    <w:rsid w:val="00E87EA0"/>
    <w:rsid w:val="00E90940"/>
    <w:rsid w:val="00E90BB7"/>
    <w:rsid w:val="00E917C5"/>
    <w:rsid w:val="00E92203"/>
    <w:rsid w:val="00E9225A"/>
    <w:rsid w:val="00E92554"/>
    <w:rsid w:val="00E93836"/>
    <w:rsid w:val="00E93B86"/>
    <w:rsid w:val="00E941C4"/>
    <w:rsid w:val="00E942EC"/>
    <w:rsid w:val="00E947FD"/>
    <w:rsid w:val="00E94830"/>
    <w:rsid w:val="00E950B4"/>
    <w:rsid w:val="00E951E5"/>
    <w:rsid w:val="00E95542"/>
    <w:rsid w:val="00E95B55"/>
    <w:rsid w:val="00E95DA5"/>
    <w:rsid w:val="00E96635"/>
    <w:rsid w:val="00E96DB5"/>
    <w:rsid w:val="00E96E99"/>
    <w:rsid w:val="00E971B5"/>
    <w:rsid w:val="00E97651"/>
    <w:rsid w:val="00EA0147"/>
    <w:rsid w:val="00EA0247"/>
    <w:rsid w:val="00EA06B7"/>
    <w:rsid w:val="00EA0734"/>
    <w:rsid w:val="00EA0D16"/>
    <w:rsid w:val="00EA0F46"/>
    <w:rsid w:val="00EA2B50"/>
    <w:rsid w:val="00EA2E4E"/>
    <w:rsid w:val="00EA3675"/>
    <w:rsid w:val="00EA3E75"/>
    <w:rsid w:val="00EA4D2C"/>
    <w:rsid w:val="00EA54F5"/>
    <w:rsid w:val="00EA5DF2"/>
    <w:rsid w:val="00EA62AD"/>
    <w:rsid w:val="00EA62CD"/>
    <w:rsid w:val="00EA6799"/>
    <w:rsid w:val="00EA685B"/>
    <w:rsid w:val="00EA754E"/>
    <w:rsid w:val="00EB00C0"/>
    <w:rsid w:val="00EB08B9"/>
    <w:rsid w:val="00EB0989"/>
    <w:rsid w:val="00EB11FB"/>
    <w:rsid w:val="00EB2402"/>
    <w:rsid w:val="00EB281A"/>
    <w:rsid w:val="00EB2DFD"/>
    <w:rsid w:val="00EB55C1"/>
    <w:rsid w:val="00EB5987"/>
    <w:rsid w:val="00EB599C"/>
    <w:rsid w:val="00EB6261"/>
    <w:rsid w:val="00EB6585"/>
    <w:rsid w:val="00EB66A5"/>
    <w:rsid w:val="00EC28FE"/>
    <w:rsid w:val="00EC2A90"/>
    <w:rsid w:val="00EC2F20"/>
    <w:rsid w:val="00EC3810"/>
    <w:rsid w:val="00EC4073"/>
    <w:rsid w:val="00EC4A49"/>
    <w:rsid w:val="00EC531D"/>
    <w:rsid w:val="00EC56AC"/>
    <w:rsid w:val="00EC5C85"/>
    <w:rsid w:val="00EC5E9A"/>
    <w:rsid w:val="00EC63C1"/>
    <w:rsid w:val="00EC7885"/>
    <w:rsid w:val="00EC7A3C"/>
    <w:rsid w:val="00EC7DF9"/>
    <w:rsid w:val="00ED0938"/>
    <w:rsid w:val="00ED09C1"/>
    <w:rsid w:val="00ED0D22"/>
    <w:rsid w:val="00ED113A"/>
    <w:rsid w:val="00ED11B1"/>
    <w:rsid w:val="00ED297C"/>
    <w:rsid w:val="00ED2BD6"/>
    <w:rsid w:val="00ED3091"/>
    <w:rsid w:val="00ED3238"/>
    <w:rsid w:val="00ED4BB9"/>
    <w:rsid w:val="00ED4BD0"/>
    <w:rsid w:val="00ED55C3"/>
    <w:rsid w:val="00ED57BA"/>
    <w:rsid w:val="00ED5DFE"/>
    <w:rsid w:val="00ED63DA"/>
    <w:rsid w:val="00ED65A3"/>
    <w:rsid w:val="00ED68A5"/>
    <w:rsid w:val="00ED6AB5"/>
    <w:rsid w:val="00ED6F28"/>
    <w:rsid w:val="00ED7180"/>
    <w:rsid w:val="00ED7424"/>
    <w:rsid w:val="00ED7968"/>
    <w:rsid w:val="00EE047B"/>
    <w:rsid w:val="00EE0F0A"/>
    <w:rsid w:val="00EE0F38"/>
    <w:rsid w:val="00EE122C"/>
    <w:rsid w:val="00EE1E4B"/>
    <w:rsid w:val="00EE21FC"/>
    <w:rsid w:val="00EE24B2"/>
    <w:rsid w:val="00EE2542"/>
    <w:rsid w:val="00EE39BD"/>
    <w:rsid w:val="00EE3A08"/>
    <w:rsid w:val="00EE3BA9"/>
    <w:rsid w:val="00EE3FF3"/>
    <w:rsid w:val="00EE4C77"/>
    <w:rsid w:val="00EE4F0B"/>
    <w:rsid w:val="00EE4F15"/>
    <w:rsid w:val="00EE57CF"/>
    <w:rsid w:val="00EE5A51"/>
    <w:rsid w:val="00EE77CA"/>
    <w:rsid w:val="00EF04BF"/>
    <w:rsid w:val="00EF07B2"/>
    <w:rsid w:val="00EF0F47"/>
    <w:rsid w:val="00EF0FC1"/>
    <w:rsid w:val="00EF11FF"/>
    <w:rsid w:val="00EF131E"/>
    <w:rsid w:val="00EF1775"/>
    <w:rsid w:val="00EF1D3A"/>
    <w:rsid w:val="00EF2ECB"/>
    <w:rsid w:val="00EF31BA"/>
    <w:rsid w:val="00EF31D9"/>
    <w:rsid w:val="00EF34B3"/>
    <w:rsid w:val="00EF3DCE"/>
    <w:rsid w:val="00EF4A48"/>
    <w:rsid w:val="00EF5D85"/>
    <w:rsid w:val="00EF608C"/>
    <w:rsid w:val="00EF60EF"/>
    <w:rsid w:val="00EF6890"/>
    <w:rsid w:val="00EF6EC8"/>
    <w:rsid w:val="00EF78F7"/>
    <w:rsid w:val="00EF7D14"/>
    <w:rsid w:val="00F000E3"/>
    <w:rsid w:val="00F00828"/>
    <w:rsid w:val="00F00907"/>
    <w:rsid w:val="00F00AB3"/>
    <w:rsid w:val="00F010FA"/>
    <w:rsid w:val="00F01214"/>
    <w:rsid w:val="00F02288"/>
    <w:rsid w:val="00F027E2"/>
    <w:rsid w:val="00F02BFC"/>
    <w:rsid w:val="00F030ED"/>
    <w:rsid w:val="00F03260"/>
    <w:rsid w:val="00F03843"/>
    <w:rsid w:val="00F04968"/>
    <w:rsid w:val="00F061A7"/>
    <w:rsid w:val="00F06673"/>
    <w:rsid w:val="00F069F6"/>
    <w:rsid w:val="00F06EBD"/>
    <w:rsid w:val="00F06F2E"/>
    <w:rsid w:val="00F0735B"/>
    <w:rsid w:val="00F07BB5"/>
    <w:rsid w:val="00F10421"/>
    <w:rsid w:val="00F106D0"/>
    <w:rsid w:val="00F10BDA"/>
    <w:rsid w:val="00F10D18"/>
    <w:rsid w:val="00F10FF9"/>
    <w:rsid w:val="00F11381"/>
    <w:rsid w:val="00F11AB6"/>
    <w:rsid w:val="00F12CB6"/>
    <w:rsid w:val="00F1308A"/>
    <w:rsid w:val="00F131C4"/>
    <w:rsid w:val="00F13318"/>
    <w:rsid w:val="00F13449"/>
    <w:rsid w:val="00F146AD"/>
    <w:rsid w:val="00F15685"/>
    <w:rsid w:val="00F15770"/>
    <w:rsid w:val="00F158EF"/>
    <w:rsid w:val="00F15D82"/>
    <w:rsid w:val="00F162ED"/>
    <w:rsid w:val="00F172D3"/>
    <w:rsid w:val="00F17BB5"/>
    <w:rsid w:val="00F21079"/>
    <w:rsid w:val="00F210C8"/>
    <w:rsid w:val="00F2118C"/>
    <w:rsid w:val="00F21246"/>
    <w:rsid w:val="00F21482"/>
    <w:rsid w:val="00F21692"/>
    <w:rsid w:val="00F21950"/>
    <w:rsid w:val="00F2222D"/>
    <w:rsid w:val="00F225FD"/>
    <w:rsid w:val="00F22730"/>
    <w:rsid w:val="00F22833"/>
    <w:rsid w:val="00F22CB9"/>
    <w:rsid w:val="00F2307A"/>
    <w:rsid w:val="00F2378B"/>
    <w:rsid w:val="00F23853"/>
    <w:rsid w:val="00F24BE0"/>
    <w:rsid w:val="00F25314"/>
    <w:rsid w:val="00F256A8"/>
    <w:rsid w:val="00F25E83"/>
    <w:rsid w:val="00F26622"/>
    <w:rsid w:val="00F26759"/>
    <w:rsid w:val="00F27D40"/>
    <w:rsid w:val="00F27FEC"/>
    <w:rsid w:val="00F30DB5"/>
    <w:rsid w:val="00F325AC"/>
    <w:rsid w:val="00F32788"/>
    <w:rsid w:val="00F335F0"/>
    <w:rsid w:val="00F355B0"/>
    <w:rsid w:val="00F35CE3"/>
    <w:rsid w:val="00F361CD"/>
    <w:rsid w:val="00F36F3A"/>
    <w:rsid w:val="00F3752D"/>
    <w:rsid w:val="00F3761C"/>
    <w:rsid w:val="00F37A79"/>
    <w:rsid w:val="00F40A20"/>
    <w:rsid w:val="00F40C25"/>
    <w:rsid w:val="00F40D24"/>
    <w:rsid w:val="00F40E7C"/>
    <w:rsid w:val="00F41551"/>
    <w:rsid w:val="00F41BE2"/>
    <w:rsid w:val="00F41D28"/>
    <w:rsid w:val="00F42147"/>
    <w:rsid w:val="00F42BCB"/>
    <w:rsid w:val="00F4395D"/>
    <w:rsid w:val="00F44A42"/>
    <w:rsid w:val="00F44C7B"/>
    <w:rsid w:val="00F458B0"/>
    <w:rsid w:val="00F46FDD"/>
    <w:rsid w:val="00F47069"/>
    <w:rsid w:val="00F47152"/>
    <w:rsid w:val="00F471B7"/>
    <w:rsid w:val="00F506F0"/>
    <w:rsid w:val="00F50AB1"/>
    <w:rsid w:val="00F51D19"/>
    <w:rsid w:val="00F51F99"/>
    <w:rsid w:val="00F51FED"/>
    <w:rsid w:val="00F53804"/>
    <w:rsid w:val="00F53C28"/>
    <w:rsid w:val="00F557F7"/>
    <w:rsid w:val="00F55860"/>
    <w:rsid w:val="00F55D6F"/>
    <w:rsid w:val="00F55FBF"/>
    <w:rsid w:val="00F5653D"/>
    <w:rsid w:val="00F56CED"/>
    <w:rsid w:val="00F57B30"/>
    <w:rsid w:val="00F60624"/>
    <w:rsid w:val="00F60855"/>
    <w:rsid w:val="00F60C7E"/>
    <w:rsid w:val="00F60F51"/>
    <w:rsid w:val="00F6125A"/>
    <w:rsid w:val="00F613A3"/>
    <w:rsid w:val="00F614E8"/>
    <w:rsid w:val="00F61819"/>
    <w:rsid w:val="00F61A8C"/>
    <w:rsid w:val="00F62FAB"/>
    <w:rsid w:val="00F632D2"/>
    <w:rsid w:val="00F6471B"/>
    <w:rsid w:val="00F658B7"/>
    <w:rsid w:val="00F6751E"/>
    <w:rsid w:val="00F675C0"/>
    <w:rsid w:val="00F678A5"/>
    <w:rsid w:val="00F70209"/>
    <w:rsid w:val="00F7071B"/>
    <w:rsid w:val="00F71785"/>
    <w:rsid w:val="00F71812"/>
    <w:rsid w:val="00F71860"/>
    <w:rsid w:val="00F71C6E"/>
    <w:rsid w:val="00F72E55"/>
    <w:rsid w:val="00F72F4A"/>
    <w:rsid w:val="00F734A6"/>
    <w:rsid w:val="00F738A0"/>
    <w:rsid w:val="00F7415D"/>
    <w:rsid w:val="00F74B41"/>
    <w:rsid w:val="00F74E6F"/>
    <w:rsid w:val="00F74F6A"/>
    <w:rsid w:val="00F752D2"/>
    <w:rsid w:val="00F76359"/>
    <w:rsid w:val="00F767A1"/>
    <w:rsid w:val="00F76A29"/>
    <w:rsid w:val="00F76D21"/>
    <w:rsid w:val="00F76DC5"/>
    <w:rsid w:val="00F806CA"/>
    <w:rsid w:val="00F812FC"/>
    <w:rsid w:val="00F819F6"/>
    <w:rsid w:val="00F82E78"/>
    <w:rsid w:val="00F8362F"/>
    <w:rsid w:val="00F837A9"/>
    <w:rsid w:val="00F8406F"/>
    <w:rsid w:val="00F844DC"/>
    <w:rsid w:val="00F84BD1"/>
    <w:rsid w:val="00F84CAE"/>
    <w:rsid w:val="00F8564B"/>
    <w:rsid w:val="00F85FAF"/>
    <w:rsid w:val="00F86400"/>
    <w:rsid w:val="00F86CE5"/>
    <w:rsid w:val="00F870EC"/>
    <w:rsid w:val="00F874FA"/>
    <w:rsid w:val="00F87CFE"/>
    <w:rsid w:val="00F91233"/>
    <w:rsid w:val="00F91745"/>
    <w:rsid w:val="00F91C23"/>
    <w:rsid w:val="00F921CC"/>
    <w:rsid w:val="00F93839"/>
    <w:rsid w:val="00F93E72"/>
    <w:rsid w:val="00F94B8D"/>
    <w:rsid w:val="00F94FE9"/>
    <w:rsid w:val="00F95F0E"/>
    <w:rsid w:val="00F96EA4"/>
    <w:rsid w:val="00F973E7"/>
    <w:rsid w:val="00F97462"/>
    <w:rsid w:val="00F97626"/>
    <w:rsid w:val="00F97799"/>
    <w:rsid w:val="00F97C43"/>
    <w:rsid w:val="00FA0D3D"/>
    <w:rsid w:val="00FA0D50"/>
    <w:rsid w:val="00FA1702"/>
    <w:rsid w:val="00FA17FA"/>
    <w:rsid w:val="00FA1F99"/>
    <w:rsid w:val="00FA249F"/>
    <w:rsid w:val="00FA2F15"/>
    <w:rsid w:val="00FA31A5"/>
    <w:rsid w:val="00FA31EE"/>
    <w:rsid w:val="00FA40CE"/>
    <w:rsid w:val="00FA4370"/>
    <w:rsid w:val="00FA5021"/>
    <w:rsid w:val="00FA50E1"/>
    <w:rsid w:val="00FA5774"/>
    <w:rsid w:val="00FA5C02"/>
    <w:rsid w:val="00FA5E4C"/>
    <w:rsid w:val="00FA6485"/>
    <w:rsid w:val="00FA672D"/>
    <w:rsid w:val="00FA7026"/>
    <w:rsid w:val="00FA7627"/>
    <w:rsid w:val="00FA7936"/>
    <w:rsid w:val="00FA7F51"/>
    <w:rsid w:val="00FB051F"/>
    <w:rsid w:val="00FB056E"/>
    <w:rsid w:val="00FB09D1"/>
    <w:rsid w:val="00FB15CA"/>
    <w:rsid w:val="00FB17FF"/>
    <w:rsid w:val="00FB195E"/>
    <w:rsid w:val="00FB1ABC"/>
    <w:rsid w:val="00FB1CDE"/>
    <w:rsid w:val="00FB207D"/>
    <w:rsid w:val="00FB405E"/>
    <w:rsid w:val="00FB42F9"/>
    <w:rsid w:val="00FB4BBA"/>
    <w:rsid w:val="00FB4C7E"/>
    <w:rsid w:val="00FB4DB3"/>
    <w:rsid w:val="00FB4FBE"/>
    <w:rsid w:val="00FB4FF2"/>
    <w:rsid w:val="00FB5060"/>
    <w:rsid w:val="00FB6778"/>
    <w:rsid w:val="00FB75C8"/>
    <w:rsid w:val="00FB7B07"/>
    <w:rsid w:val="00FC000E"/>
    <w:rsid w:val="00FC0B46"/>
    <w:rsid w:val="00FC0B8C"/>
    <w:rsid w:val="00FC0E21"/>
    <w:rsid w:val="00FC0E94"/>
    <w:rsid w:val="00FC26C2"/>
    <w:rsid w:val="00FC2999"/>
    <w:rsid w:val="00FC374E"/>
    <w:rsid w:val="00FC3CD9"/>
    <w:rsid w:val="00FC456F"/>
    <w:rsid w:val="00FC4970"/>
    <w:rsid w:val="00FC4B70"/>
    <w:rsid w:val="00FC5703"/>
    <w:rsid w:val="00FC6609"/>
    <w:rsid w:val="00FC7245"/>
    <w:rsid w:val="00FD0336"/>
    <w:rsid w:val="00FD142D"/>
    <w:rsid w:val="00FD1C84"/>
    <w:rsid w:val="00FD2AB9"/>
    <w:rsid w:val="00FD2AF6"/>
    <w:rsid w:val="00FD39AB"/>
    <w:rsid w:val="00FD3A5C"/>
    <w:rsid w:val="00FD3E8E"/>
    <w:rsid w:val="00FD4D92"/>
    <w:rsid w:val="00FD58E3"/>
    <w:rsid w:val="00FD599A"/>
    <w:rsid w:val="00FD5D13"/>
    <w:rsid w:val="00FD6252"/>
    <w:rsid w:val="00FD7400"/>
    <w:rsid w:val="00FD741C"/>
    <w:rsid w:val="00FD7E62"/>
    <w:rsid w:val="00FE1876"/>
    <w:rsid w:val="00FE1D6F"/>
    <w:rsid w:val="00FE1DFA"/>
    <w:rsid w:val="00FE1E4C"/>
    <w:rsid w:val="00FE1FA4"/>
    <w:rsid w:val="00FE3409"/>
    <w:rsid w:val="00FE38E3"/>
    <w:rsid w:val="00FE3DD5"/>
    <w:rsid w:val="00FE40BE"/>
    <w:rsid w:val="00FE4464"/>
    <w:rsid w:val="00FE47F4"/>
    <w:rsid w:val="00FE4AAE"/>
    <w:rsid w:val="00FE4D1E"/>
    <w:rsid w:val="00FE5379"/>
    <w:rsid w:val="00FE5F11"/>
    <w:rsid w:val="00FE69DB"/>
    <w:rsid w:val="00FE74F7"/>
    <w:rsid w:val="00FF2649"/>
    <w:rsid w:val="00FF288C"/>
    <w:rsid w:val="00FF2B2E"/>
    <w:rsid w:val="00FF2FC2"/>
    <w:rsid w:val="00FF333F"/>
    <w:rsid w:val="00FF37BB"/>
    <w:rsid w:val="00FF3BD5"/>
    <w:rsid w:val="00FF3F87"/>
    <w:rsid w:val="00FF4CE2"/>
    <w:rsid w:val="00FF5167"/>
    <w:rsid w:val="00FF6338"/>
    <w:rsid w:val="00FF652D"/>
    <w:rsid w:val="00FF653C"/>
    <w:rsid w:val="00FF6FEF"/>
    <w:rsid w:val="00FF72C8"/>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B23A9"/>
  <w15:chartTrackingRefBased/>
  <w15:docId w15:val="{FE817874-226F-4088-9F06-C1A8525F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uiPriority w:val="99"/>
    <w:semiHidden/>
    <w:unhideWhenUsed/>
    <w:rsid w:val="00297C3A"/>
    <w:pPr>
      <w:spacing w:before="100" w:beforeAutospacing="1" w:after="240" w:afterAutospacing="1" w:line="288" w:lineRule="auto"/>
      <w:jc w:val="both"/>
      <w:outlineLvl w:val="2"/>
    </w:pPr>
    <w:rPr>
      <w:rFonts w:ascii="Arial" w:eastAsia="SimSun" w:hAnsi="Arial"/>
      <w:bCs/>
      <w:sz w:val="2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1D62"/>
    <w:pPr>
      <w:tabs>
        <w:tab w:val="center" w:pos="4320"/>
        <w:tab w:val="right" w:pos="8640"/>
      </w:tabs>
    </w:pPr>
  </w:style>
  <w:style w:type="paragraph" w:styleId="Footer">
    <w:name w:val="footer"/>
    <w:basedOn w:val="Normal"/>
    <w:rsid w:val="003D1D62"/>
    <w:pPr>
      <w:tabs>
        <w:tab w:val="center" w:pos="4320"/>
        <w:tab w:val="right" w:pos="8640"/>
      </w:tabs>
    </w:pPr>
  </w:style>
  <w:style w:type="character" w:styleId="PageNumber">
    <w:name w:val="page number"/>
    <w:basedOn w:val="DefaultParagraphFont"/>
    <w:rsid w:val="003D1D62"/>
  </w:style>
  <w:style w:type="paragraph" w:customStyle="1" w:styleId="Title">
    <w:name w:val="_Title"/>
    <w:basedOn w:val="Normal"/>
    <w:rsid w:val="00FC4970"/>
    <w:pPr>
      <w:spacing w:before="360" w:line="280" w:lineRule="exact"/>
      <w:ind w:left="-600"/>
    </w:pPr>
    <w:rPr>
      <w:rFonts w:ascii="Arial" w:hAnsi="Arial"/>
      <w:b/>
      <w:color w:val="395691"/>
      <w:lang w:val="en-AU"/>
    </w:rPr>
  </w:style>
  <w:style w:type="paragraph" w:customStyle="1" w:styleId="subheading">
    <w:name w:val="_subheading"/>
    <w:basedOn w:val="Normal"/>
    <w:rsid w:val="008E4CE4"/>
    <w:pPr>
      <w:spacing w:before="20" w:after="20" w:line="200" w:lineRule="atLeast"/>
    </w:pPr>
    <w:rPr>
      <w:rFonts w:ascii="Arial" w:hAnsi="Arial" w:cs="Arial"/>
      <w:b/>
      <w:bCs/>
      <w:lang w:val="en-AU"/>
    </w:rPr>
  </w:style>
  <w:style w:type="paragraph" w:customStyle="1" w:styleId="Tableheading">
    <w:name w:val="_Table heading"/>
    <w:basedOn w:val="Normal"/>
    <w:next w:val="Normal"/>
    <w:rsid w:val="00B12D81"/>
    <w:pPr>
      <w:spacing w:before="240" w:after="120" w:line="280" w:lineRule="exact"/>
    </w:pPr>
    <w:rPr>
      <w:rFonts w:ascii="Arial" w:hAnsi="Arial"/>
      <w:b/>
      <w:szCs w:val="32"/>
      <w:lang w:val="en-AU"/>
    </w:rPr>
  </w:style>
  <w:style w:type="paragraph" w:customStyle="1" w:styleId="Tabletext">
    <w:name w:val="_Tabletext"/>
    <w:basedOn w:val="Normal"/>
    <w:next w:val="Normal"/>
    <w:link w:val="TabletextChar"/>
    <w:rsid w:val="00B12D81"/>
    <w:pPr>
      <w:spacing w:before="80" w:after="80" w:line="240" w:lineRule="atLeast"/>
    </w:pPr>
    <w:rPr>
      <w:rFonts w:ascii="Arial" w:hAnsi="Arial"/>
      <w:bCs/>
      <w:sz w:val="18"/>
      <w:szCs w:val="20"/>
      <w:lang w:val="en-AU"/>
    </w:rPr>
  </w:style>
  <w:style w:type="table" w:styleId="TableGrid">
    <w:name w:val="Table Grid"/>
    <w:basedOn w:val="TableNormal"/>
    <w:rsid w:val="00B12D81"/>
    <w:pPr>
      <w:spacing w:before="14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_Tabletext Char"/>
    <w:link w:val="Tabletext"/>
    <w:rsid w:val="00B12D81"/>
    <w:rPr>
      <w:rFonts w:ascii="Arial" w:hAnsi="Arial"/>
      <w:bCs/>
      <w:sz w:val="18"/>
      <w:lang w:val="en-AU" w:eastAsia="en-US" w:bidi="ar-SA"/>
    </w:rPr>
  </w:style>
  <w:style w:type="paragraph" w:styleId="BodyText3">
    <w:name w:val="Body Text 3"/>
    <w:basedOn w:val="Normal"/>
    <w:rsid w:val="00F256A8"/>
    <w:pPr>
      <w:spacing w:before="240" w:after="240" w:line="260" w:lineRule="atLeast"/>
      <w:jc w:val="both"/>
    </w:pPr>
    <w:rPr>
      <w:rFonts w:ascii="Arial" w:hAnsi="Arial"/>
      <w:sz w:val="22"/>
      <w:szCs w:val="20"/>
      <w:lang w:val="en-AU"/>
    </w:rPr>
  </w:style>
  <w:style w:type="character" w:styleId="Strong">
    <w:name w:val="Strong"/>
    <w:qFormat/>
    <w:rsid w:val="006059A7"/>
    <w:rPr>
      <w:b/>
      <w:bCs/>
    </w:rPr>
  </w:style>
  <w:style w:type="paragraph" w:styleId="BalloonText">
    <w:name w:val="Balloon Text"/>
    <w:basedOn w:val="Normal"/>
    <w:link w:val="BalloonTextChar"/>
    <w:rsid w:val="009E146A"/>
    <w:rPr>
      <w:rFonts w:ascii="Tahoma" w:hAnsi="Tahoma" w:cs="Tahoma"/>
      <w:sz w:val="16"/>
      <w:szCs w:val="16"/>
    </w:rPr>
  </w:style>
  <w:style w:type="character" w:customStyle="1" w:styleId="BalloonTextChar">
    <w:name w:val="Balloon Text Char"/>
    <w:link w:val="BalloonText"/>
    <w:rsid w:val="009E146A"/>
    <w:rPr>
      <w:rFonts w:ascii="Tahoma" w:hAnsi="Tahoma" w:cs="Tahoma"/>
      <w:sz w:val="16"/>
      <w:szCs w:val="16"/>
      <w:lang w:val="en-US" w:eastAsia="en-US"/>
    </w:rPr>
  </w:style>
  <w:style w:type="paragraph" w:customStyle="1" w:styleId="Default">
    <w:name w:val="Default"/>
    <w:rsid w:val="00D32669"/>
    <w:pPr>
      <w:autoSpaceDE w:val="0"/>
      <w:autoSpaceDN w:val="0"/>
      <w:adjustRightInd w:val="0"/>
    </w:pPr>
    <w:rPr>
      <w:rFonts w:ascii="Arial" w:hAnsi="Arial" w:cs="Arial"/>
      <w:color w:val="000000"/>
      <w:sz w:val="24"/>
      <w:szCs w:val="24"/>
      <w:lang w:eastAsia="zh-CN"/>
    </w:rPr>
  </w:style>
  <w:style w:type="character" w:customStyle="1" w:styleId="Heading3Char">
    <w:name w:val="Heading 3 Char"/>
    <w:link w:val="Heading3"/>
    <w:uiPriority w:val="9"/>
    <w:semiHidden/>
    <w:rsid w:val="00297C3A"/>
    <w:rPr>
      <w:rFonts w:ascii="Arial" w:eastAsia="SimSun" w:hAnsi="Arial"/>
      <w:bCs/>
      <w:szCs w:val="22"/>
      <w:lang w:eastAsia="en-US"/>
    </w:rPr>
  </w:style>
  <w:style w:type="paragraph" w:customStyle="1" w:styleId="Doctext1">
    <w:name w:val="Doctext1"/>
    <w:basedOn w:val="Normal"/>
    <w:uiPriority w:val="29"/>
    <w:qFormat/>
    <w:rsid w:val="00297C3A"/>
    <w:pPr>
      <w:spacing w:before="240" w:line="260" w:lineRule="atLeast"/>
      <w:jc w:val="both"/>
    </w:pPr>
    <w:rPr>
      <w:rFonts w:ascii="Arial" w:eastAsia="Calibri" w:hAnsi="Arial"/>
      <w:sz w:val="20"/>
      <w:szCs w:val="22"/>
      <w:lang w:val="en-GB"/>
    </w:rPr>
  </w:style>
  <w:style w:type="paragraph" w:customStyle="1" w:styleId="Def1">
    <w:name w:val="Def1"/>
    <w:basedOn w:val="Normal"/>
    <w:uiPriority w:val="49"/>
    <w:qFormat/>
    <w:rsid w:val="00297C3A"/>
    <w:pPr>
      <w:numPr>
        <w:numId w:val="3"/>
      </w:numPr>
      <w:spacing w:before="240" w:line="260" w:lineRule="atLeast"/>
      <w:jc w:val="both"/>
    </w:pPr>
    <w:rPr>
      <w:rFonts w:ascii="Arial" w:eastAsia="Calibri" w:hAnsi="Arial"/>
      <w:sz w:val="20"/>
      <w:szCs w:val="22"/>
      <w:lang w:val="en-GB"/>
    </w:rPr>
  </w:style>
  <w:style w:type="paragraph" w:customStyle="1" w:styleId="Def2">
    <w:name w:val="Def2"/>
    <w:basedOn w:val="Normal"/>
    <w:uiPriority w:val="49"/>
    <w:qFormat/>
    <w:rsid w:val="00297C3A"/>
    <w:pPr>
      <w:numPr>
        <w:ilvl w:val="1"/>
        <w:numId w:val="3"/>
      </w:numPr>
      <w:spacing w:before="240" w:line="260" w:lineRule="atLeast"/>
      <w:jc w:val="both"/>
    </w:pPr>
    <w:rPr>
      <w:rFonts w:ascii="Arial" w:eastAsia="Calibri" w:hAnsi="Arial"/>
      <w:sz w:val="20"/>
      <w:szCs w:val="22"/>
      <w:lang w:val="en-GB"/>
    </w:rPr>
  </w:style>
  <w:style w:type="paragraph" w:customStyle="1" w:styleId="Def3">
    <w:name w:val="Def3"/>
    <w:basedOn w:val="Normal"/>
    <w:uiPriority w:val="49"/>
    <w:qFormat/>
    <w:rsid w:val="00297C3A"/>
    <w:pPr>
      <w:numPr>
        <w:ilvl w:val="2"/>
        <w:numId w:val="3"/>
      </w:numPr>
      <w:spacing w:before="240" w:line="260" w:lineRule="atLeast"/>
      <w:jc w:val="both"/>
    </w:pPr>
    <w:rPr>
      <w:rFonts w:ascii="Arial" w:eastAsia="Calibri" w:hAnsi="Arial"/>
      <w:sz w:val="20"/>
      <w:szCs w:val="22"/>
      <w:lang w:val="en-GB"/>
    </w:rPr>
  </w:style>
  <w:style w:type="paragraph" w:customStyle="1" w:styleId="Def4">
    <w:name w:val="Def4"/>
    <w:basedOn w:val="Normal"/>
    <w:uiPriority w:val="49"/>
    <w:qFormat/>
    <w:rsid w:val="00297C3A"/>
    <w:pPr>
      <w:numPr>
        <w:ilvl w:val="3"/>
        <w:numId w:val="3"/>
      </w:numPr>
      <w:spacing w:before="240" w:line="288" w:lineRule="auto"/>
      <w:jc w:val="both"/>
    </w:pPr>
    <w:rPr>
      <w:rFonts w:ascii="Arial" w:eastAsia="Calibri" w:hAnsi="Arial"/>
      <w:sz w:val="20"/>
      <w:szCs w:val="22"/>
      <w:lang w:val="en-GB"/>
    </w:rPr>
  </w:style>
  <w:style w:type="paragraph" w:customStyle="1" w:styleId="Def5">
    <w:name w:val="Def5"/>
    <w:basedOn w:val="Normal"/>
    <w:uiPriority w:val="49"/>
    <w:qFormat/>
    <w:rsid w:val="00297C3A"/>
    <w:pPr>
      <w:numPr>
        <w:ilvl w:val="4"/>
        <w:numId w:val="3"/>
      </w:numPr>
      <w:spacing w:before="240" w:line="260" w:lineRule="atLeast"/>
      <w:jc w:val="both"/>
    </w:pPr>
    <w:rPr>
      <w:rFonts w:ascii="Arial" w:eastAsia="Calibri" w:hAnsi="Arial"/>
      <w:sz w:val="20"/>
      <w:szCs w:val="22"/>
      <w:lang w:val="en-GB"/>
    </w:rPr>
  </w:style>
  <w:style w:type="paragraph" w:customStyle="1" w:styleId="Def6">
    <w:name w:val="Def6"/>
    <w:basedOn w:val="Normal"/>
    <w:uiPriority w:val="49"/>
    <w:qFormat/>
    <w:rsid w:val="00297C3A"/>
    <w:pPr>
      <w:numPr>
        <w:ilvl w:val="5"/>
        <w:numId w:val="3"/>
      </w:numPr>
      <w:spacing w:before="240" w:line="288" w:lineRule="auto"/>
      <w:jc w:val="both"/>
    </w:pPr>
    <w:rPr>
      <w:rFonts w:ascii="Arial" w:eastAsia="Calibri" w:hAnsi="Arial"/>
      <w:sz w:val="20"/>
      <w:szCs w:val="22"/>
      <w:lang w:val="en-GB"/>
    </w:rPr>
  </w:style>
  <w:style w:type="paragraph" w:customStyle="1" w:styleId="Def7">
    <w:name w:val="Def7"/>
    <w:basedOn w:val="Normal"/>
    <w:uiPriority w:val="49"/>
    <w:qFormat/>
    <w:rsid w:val="00297C3A"/>
    <w:pPr>
      <w:numPr>
        <w:ilvl w:val="6"/>
        <w:numId w:val="3"/>
      </w:numPr>
      <w:spacing w:before="240" w:line="288" w:lineRule="auto"/>
      <w:jc w:val="both"/>
    </w:pPr>
    <w:rPr>
      <w:rFonts w:ascii="Arial" w:eastAsia="Calibri" w:hAnsi="Arial"/>
      <w:sz w:val="20"/>
      <w:szCs w:val="22"/>
      <w:lang w:val="en-GB"/>
    </w:rPr>
  </w:style>
  <w:style w:type="paragraph" w:customStyle="1" w:styleId="Def8">
    <w:name w:val="Def8"/>
    <w:basedOn w:val="Normal"/>
    <w:uiPriority w:val="49"/>
    <w:qFormat/>
    <w:rsid w:val="00297C3A"/>
    <w:pPr>
      <w:numPr>
        <w:ilvl w:val="7"/>
        <w:numId w:val="3"/>
      </w:numPr>
      <w:spacing w:before="240" w:line="260" w:lineRule="atLeast"/>
      <w:jc w:val="both"/>
    </w:pPr>
    <w:rPr>
      <w:rFonts w:ascii="Arial" w:eastAsia="Calibri" w:hAnsi="Arial"/>
      <w:sz w:val="20"/>
      <w:szCs w:val="22"/>
      <w:lang w:val="en-GB"/>
    </w:rPr>
  </w:style>
  <w:style w:type="paragraph" w:customStyle="1" w:styleId="Def9">
    <w:name w:val="Def9"/>
    <w:basedOn w:val="Normal"/>
    <w:uiPriority w:val="49"/>
    <w:qFormat/>
    <w:rsid w:val="00297C3A"/>
    <w:pPr>
      <w:numPr>
        <w:ilvl w:val="8"/>
        <w:numId w:val="3"/>
      </w:numPr>
      <w:spacing w:before="240" w:line="260" w:lineRule="atLeast"/>
      <w:jc w:val="both"/>
    </w:pPr>
    <w:rPr>
      <w:rFonts w:ascii="Arial" w:eastAsia="Calibri" w:hAnsi="Arial"/>
      <w:sz w:val="20"/>
      <w:szCs w:val="22"/>
      <w:lang w:val="en-GB"/>
    </w:rPr>
  </w:style>
  <w:style w:type="paragraph" w:customStyle="1" w:styleId="DefSubhead">
    <w:name w:val="DefSubhead"/>
    <w:basedOn w:val="Normal"/>
    <w:uiPriority w:val="49"/>
    <w:qFormat/>
    <w:rsid w:val="00297C3A"/>
    <w:pPr>
      <w:numPr>
        <w:numId w:val="4"/>
      </w:numPr>
      <w:spacing w:before="240" w:line="288" w:lineRule="auto"/>
      <w:ind w:left="1440" w:firstLine="0"/>
      <w:jc w:val="both"/>
    </w:pPr>
    <w:rPr>
      <w:rFonts w:ascii="Arial" w:eastAsia="Calibri" w:hAnsi="Arial"/>
      <w:sz w:val="20"/>
      <w:szCs w:val="22"/>
      <w:lang w:val="en-GB"/>
    </w:rPr>
  </w:style>
  <w:style w:type="paragraph" w:customStyle="1" w:styleId="DefSubpara1">
    <w:name w:val="DefSubpara1"/>
    <w:basedOn w:val="Normal"/>
    <w:uiPriority w:val="49"/>
    <w:qFormat/>
    <w:rsid w:val="00297C3A"/>
    <w:pPr>
      <w:numPr>
        <w:ilvl w:val="1"/>
        <w:numId w:val="4"/>
      </w:numPr>
      <w:spacing w:before="240" w:line="288" w:lineRule="auto"/>
      <w:jc w:val="both"/>
    </w:pPr>
    <w:rPr>
      <w:rFonts w:ascii="Arial" w:eastAsia="Calibri" w:hAnsi="Arial"/>
      <w:sz w:val="20"/>
      <w:szCs w:val="22"/>
      <w:lang w:val="en-GB"/>
    </w:rPr>
  </w:style>
  <w:style w:type="paragraph" w:customStyle="1" w:styleId="DefSubpara2">
    <w:name w:val="DefSubpara2"/>
    <w:basedOn w:val="Normal"/>
    <w:uiPriority w:val="49"/>
    <w:qFormat/>
    <w:rsid w:val="00297C3A"/>
    <w:pPr>
      <w:numPr>
        <w:ilvl w:val="2"/>
        <w:numId w:val="4"/>
      </w:numPr>
      <w:spacing w:before="240" w:line="288" w:lineRule="auto"/>
      <w:jc w:val="both"/>
    </w:pPr>
    <w:rPr>
      <w:rFonts w:ascii="Arial" w:eastAsia="Calibri" w:hAnsi="Arial"/>
      <w:sz w:val="20"/>
      <w:szCs w:val="22"/>
      <w:lang w:val="en-GB"/>
    </w:rPr>
  </w:style>
  <w:style w:type="paragraph" w:customStyle="1" w:styleId="DefSubpara3">
    <w:name w:val="DefSubpara3"/>
    <w:basedOn w:val="Normal"/>
    <w:uiPriority w:val="49"/>
    <w:qFormat/>
    <w:rsid w:val="00297C3A"/>
    <w:pPr>
      <w:numPr>
        <w:ilvl w:val="3"/>
        <w:numId w:val="4"/>
      </w:numPr>
      <w:spacing w:before="240" w:line="288" w:lineRule="auto"/>
      <w:jc w:val="both"/>
    </w:pPr>
    <w:rPr>
      <w:rFonts w:ascii="Arial" w:eastAsia="Calibri" w:hAnsi="Arial"/>
      <w:sz w:val="20"/>
      <w:szCs w:val="22"/>
      <w:lang w:val="en-GB"/>
    </w:rPr>
  </w:style>
  <w:style w:type="paragraph" w:customStyle="1" w:styleId="DefSubpara4">
    <w:name w:val="DefSubpara4"/>
    <w:basedOn w:val="Normal"/>
    <w:uiPriority w:val="49"/>
    <w:qFormat/>
    <w:rsid w:val="00297C3A"/>
    <w:pPr>
      <w:numPr>
        <w:ilvl w:val="4"/>
        <w:numId w:val="4"/>
      </w:numPr>
      <w:spacing w:before="240" w:line="288" w:lineRule="auto"/>
      <w:jc w:val="both"/>
    </w:pPr>
    <w:rPr>
      <w:rFonts w:ascii="Arial" w:eastAsia="Calibri" w:hAnsi="Arial"/>
      <w:sz w:val="20"/>
      <w:szCs w:val="22"/>
      <w:lang w:val="en-GB"/>
    </w:rPr>
  </w:style>
  <w:style w:type="paragraph" w:customStyle="1" w:styleId="Defhead">
    <w:name w:val="Defhead"/>
    <w:basedOn w:val="Normal"/>
    <w:uiPriority w:val="49"/>
    <w:qFormat/>
    <w:rsid w:val="005D51A5"/>
    <w:pPr>
      <w:numPr>
        <w:numId w:val="7"/>
      </w:numPr>
      <w:spacing w:before="240" w:line="288" w:lineRule="auto"/>
      <w:jc w:val="both"/>
    </w:pPr>
    <w:rPr>
      <w:rFonts w:ascii="Arial" w:eastAsia="Calibri" w:hAnsi="Arial"/>
      <w:sz w:val="20"/>
      <w:szCs w:val="22"/>
      <w:lang w:val="en-GB"/>
    </w:rPr>
  </w:style>
  <w:style w:type="paragraph" w:customStyle="1" w:styleId="Defpara1">
    <w:name w:val="Defpara1"/>
    <w:basedOn w:val="Normal"/>
    <w:uiPriority w:val="49"/>
    <w:qFormat/>
    <w:rsid w:val="005D51A5"/>
    <w:pPr>
      <w:numPr>
        <w:ilvl w:val="1"/>
        <w:numId w:val="7"/>
      </w:numPr>
      <w:spacing w:before="240" w:line="288" w:lineRule="auto"/>
      <w:jc w:val="both"/>
    </w:pPr>
    <w:rPr>
      <w:rFonts w:ascii="Arial" w:eastAsia="Calibri" w:hAnsi="Arial"/>
      <w:sz w:val="20"/>
      <w:szCs w:val="22"/>
      <w:lang w:val="en-GB"/>
    </w:rPr>
  </w:style>
  <w:style w:type="paragraph" w:customStyle="1" w:styleId="Defpara2">
    <w:name w:val="Defpara2"/>
    <w:basedOn w:val="Normal"/>
    <w:uiPriority w:val="49"/>
    <w:qFormat/>
    <w:rsid w:val="005D51A5"/>
    <w:pPr>
      <w:numPr>
        <w:ilvl w:val="2"/>
        <w:numId w:val="7"/>
      </w:numPr>
      <w:spacing w:before="240" w:line="288" w:lineRule="auto"/>
      <w:jc w:val="both"/>
    </w:pPr>
    <w:rPr>
      <w:rFonts w:ascii="Arial" w:eastAsia="Calibri" w:hAnsi="Arial"/>
      <w:sz w:val="20"/>
      <w:szCs w:val="22"/>
      <w:lang w:val="en-GB"/>
    </w:rPr>
  </w:style>
  <w:style w:type="paragraph" w:customStyle="1" w:styleId="Defpara3">
    <w:name w:val="Defpara3"/>
    <w:basedOn w:val="Normal"/>
    <w:autoRedefine/>
    <w:uiPriority w:val="49"/>
    <w:qFormat/>
    <w:rsid w:val="005D51A5"/>
    <w:pPr>
      <w:numPr>
        <w:ilvl w:val="3"/>
        <w:numId w:val="7"/>
      </w:numPr>
      <w:spacing w:before="8" w:after="8" w:line="288" w:lineRule="auto"/>
      <w:jc w:val="both"/>
    </w:pPr>
    <w:rPr>
      <w:rFonts w:ascii="Arial" w:eastAsia="Calibri" w:hAnsi="Arial"/>
      <w:sz w:val="20"/>
      <w:szCs w:val="22"/>
      <w:lang w:val="en-GB"/>
    </w:rPr>
  </w:style>
  <w:style w:type="paragraph" w:customStyle="1" w:styleId="Defpara4">
    <w:name w:val="Defpara4"/>
    <w:basedOn w:val="Normal"/>
    <w:uiPriority w:val="49"/>
    <w:qFormat/>
    <w:rsid w:val="005D51A5"/>
    <w:pPr>
      <w:numPr>
        <w:ilvl w:val="4"/>
        <w:numId w:val="7"/>
      </w:numPr>
      <w:spacing w:before="240" w:line="288" w:lineRule="auto"/>
      <w:jc w:val="both"/>
    </w:pPr>
    <w:rPr>
      <w:rFonts w:ascii="Arial" w:eastAsia="Calibri" w:hAnsi="Arial"/>
      <w:sz w:val="20"/>
      <w:szCs w:val="22"/>
      <w:lang w:val="en-GB"/>
    </w:rPr>
  </w:style>
  <w:style w:type="paragraph" w:customStyle="1" w:styleId="Defpara5">
    <w:name w:val="Defpara5"/>
    <w:basedOn w:val="Normal"/>
    <w:uiPriority w:val="49"/>
    <w:qFormat/>
    <w:rsid w:val="005D51A5"/>
    <w:pPr>
      <w:numPr>
        <w:ilvl w:val="5"/>
        <w:numId w:val="7"/>
      </w:numPr>
      <w:spacing w:before="240" w:line="288" w:lineRule="auto"/>
      <w:jc w:val="both"/>
    </w:pPr>
    <w:rPr>
      <w:rFonts w:ascii="Arial" w:eastAsia="Calibri" w:hAnsi="Arial"/>
      <w:sz w:val="20"/>
      <w:szCs w:val="22"/>
      <w:lang w:val="en-GB"/>
    </w:rPr>
  </w:style>
  <w:style w:type="paragraph" w:customStyle="1" w:styleId="Defpara6">
    <w:name w:val="Defpara6"/>
    <w:basedOn w:val="Normal"/>
    <w:uiPriority w:val="49"/>
    <w:qFormat/>
    <w:rsid w:val="005D51A5"/>
    <w:pPr>
      <w:numPr>
        <w:ilvl w:val="6"/>
        <w:numId w:val="7"/>
      </w:numPr>
      <w:spacing w:before="240" w:line="288" w:lineRule="auto"/>
      <w:jc w:val="both"/>
    </w:pPr>
    <w:rPr>
      <w:rFonts w:ascii="Arial" w:eastAsia="Calibri" w:hAnsi="Arial"/>
      <w:sz w:val="20"/>
      <w:szCs w:val="22"/>
      <w:lang w:val="en-GB"/>
    </w:rPr>
  </w:style>
  <w:style w:type="paragraph" w:customStyle="1" w:styleId="Defpara7">
    <w:name w:val="Defpara7"/>
    <w:basedOn w:val="Normal"/>
    <w:uiPriority w:val="49"/>
    <w:qFormat/>
    <w:rsid w:val="005D51A5"/>
    <w:pPr>
      <w:numPr>
        <w:ilvl w:val="7"/>
        <w:numId w:val="7"/>
      </w:numPr>
      <w:spacing w:before="240" w:line="288" w:lineRule="auto"/>
      <w:jc w:val="both"/>
    </w:pPr>
    <w:rPr>
      <w:rFonts w:ascii="Arial" w:eastAsia="Calibri" w:hAnsi="Arial"/>
      <w:sz w:val="20"/>
      <w:szCs w:val="22"/>
      <w:lang w:val="en-GB"/>
    </w:rPr>
  </w:style>
  <w:style w:type="paragraph" w:customStyle="1" w:styleId="Defpara8">
    <w:name w:val="Defpara8"/>
    <w:basedOn w:val="Normal"/>
    <w:uiPriority w:val="49"/>
    <w:qFormat/>
    <w:rsid w:val="005D51A5"/>
    <w:pPr>
      <w:numPr>
        <w:ilvl w:val="8"/>
        <w:numId w:val="7"/>
      </w:numPr>
      <w:spacing w:before="240" w:line="288" w:lineRule="auto"/>
      <w:jc w:val="both"/>
    </w:pPr>
    <w:rPr>
      <w:rFonts w:ascii="Arial" w:eastAsia="Calibri" w:hAnsi="Arial"/>
      <w:sz w:val="20"/>
      <w:szCs w:val="22"/>
      <w:lang w:val="en-GB"/>
    </w:rPr>
  </w:style>
  <w:style w:type="paragraph" w:customStyle="1" w:styleId="AltDefpara3">
    <w:name w:val="AltDefpara3"/>
    <w:basedOn w:val="Defpara3"/>
    <w:uiPriority w:val="49"/>
    <w:qFormat/>
    <w:rsid w:val="005D51A5"/>
    <w:pPr>
      <w:numPr>
        <w:numId w:val="10"/>
      </w:numPr>
      <w:tabs>
        <w:tab w:val="left" w:pos="1440"/>
      </w:tabs>
    </w:pPr>
  </w:style>
  <w:style w:type="character" w:customStyle="1" w:styleId="HeaderChar">
    <w:name w:val="Header Char"/>
    <w:link w:val="Header"/>
    <w:rsid w:val="004707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9799">
      <w:bodyDiv w:val="1"/>
      <w:marLeft w:val="0"/>
      <w:marRight w:val="0"/>
      <w:marTop w:val="0"/>
      <w:marBottom w:val="0"/>
      <w:divBdr>
        <w:top w:val="none" w:sz="0" w:space="0" w:color="auto"/>
        <w:left w:val="none" w:sz="0" w:space="0" w:color="auto"/>
        <w:bottom w:val="none" w:sz="0" w:space="0" w:color="auto"/>
        <w:right w:val="none" w:sz="0" w:space="0" w:color="auto"/>
      </w:divBdr>
    </w:div>
    <w:div w:id="234515838">
      <w:bodyDiv w:val="1"/>
      <w:marLeft w:val="0"/>
      <w:marRight w:val="0"/>
      <w:marTop w:val="0"/>
      <w:marBottom w:val="0"/>
      <w:divBdr>
        <w:top w:val="none" w:sz="0" w:space="0" w:color="auto"/>
        <w:left w:val="none" w:sz="0" w:space="0" w:color="auto"/>
        <w:bottom w:val="none" w:sz="0" w:space="0" w:color="auto"/>
        <w:right w:val="none" w:sz="0" w:space="0" w:color="auto"/>
      </w:divBdr>
    </w:div>
    <w:div w:id="248780471">
      <w:bodyDiv w:val="1"/>
      <w:marLeft w:val="0"/>
      <w:marRight w:val="0"/>
      <w:marTop w:val="0"/>
      <w:marBottom w:val="0"/>
      <w:divBdr>
        <w:top w:val="none" w:sz="0" w:space="0" w:color="auto"/>
        <w:left w:val="none" w:sz="0" w:space="0" w:color="auto"/>
        <w:bottom w:val="none" w:sz="0" w:space="0" w:color="auto"/>
        <w:right w:val="none" w:sz="0" w:space="0" w:color="auto"/>
      </w:divBdr>
    </w:div>
    <w:div w:id="270818551">
      <w:bodyDiv w:val="1"/>
      <w:marLeft w:val="0"/>
      <w:marRight w:val="0"/>
      <w:marTop w:val="0"/>
      <w:marBottom w:val="0"/>
      <w:divBdr>
        <w:top w:val="none" w:sz="0" w:space="0" w:color="auto"/>
        <w:left w:val="none" w:sz="0" w:space="0" w:color="auto"/>
        <w:bottom w:val="none" w:sz="0" w:space="0" w:color="auto"/>
        <w:right w:val="none" w:sz="0" w:space="0" w:color="auto"/>
      </w:divBdr>
    </w:div>
    <w:div w:id="286401329">
      <w:bodyDiv w:val="1"/>
      <w:marLeft w:val="0"/>
      <w:marRight w:val="0"/>
      <w:marTop w:val="0"/>
      <w:marBottom w:val="0"/>
      <w:divBdr>
        <w:top w:val="none" w:sz="0" w:space="0" w:color="auto"/>
        <w:left w:val="none" w:sz="0" w:space="0" w:color="auto"/>
        <w:bottom w:val="none" w:sz="0" w:space="0" w:color="auto"/>
        <w:right w:val="none" w:sz="0" w:space="0" w:color="auto"/>
      </w:divBdr>
    </w:div>
    <w:div w:id="331489912">
      <w:bodyDiv w:val="1"/>
      <w:marLeft w:val="0"/>
      <w:marRight w:val="0"/>
      <w:marTop w:val="0"/>
      <w:marBottom w:val="0"/>
      <w:divBdr>
        <w:top w:val="none" w:sz="0" w:space="0" w:color="auto"/>
        <w:left w:val="none" w:sz="0" w:space="0" w:color="auto"/>
        <w:bottom w:val="none" w:sz="0" w:space="0" w:color="auto"/>
        <w:right w:val="none" w:sz="0" w:space="0" w:color="auto"/>
      </w:divBdr>
    </w:div>
    <w:div w:id="341200412">
      <w:bodyDiv w:val="1"/>
      <w:marLeft w:val="0"/>
      <w:marRight w:val="0"/>
      <w:marTop w:val="0"/>
      <w:marBottom w:val="0"/>
      <w:divBdr>
        <w:top w:val="none" w:sz="0" w:space="0" w:color="auto"/>
        <w:left w:val="none" w:sz="0" w:space="0" w:color="auto"/>
        <w:bottom w:val="none" w:sz="0" w:space="0" w:color="auto"/>
        <w:right w:val="none" w:sz="0" w:space="0" w:color="auto"/>
      </w:divBdr>
    </w:div>
    <w:div w:id="391193660">
      <w:bodyDiv w:val="1"/>
      <w:marLeft w:val="0"/>
      <w:marRight w:val="0"/>
      <w:marTop w:val="0"/>
      <w:marBottom w:val="0"/>
      <w:divBdr>
        <w:top w:val="none" w:sz="0" w:space="0" w:color="auto"/>
        <w:left w:val="none" w:sz="0" w:space="0" w:color="auto"/>
        <w:bottom w:val="none" w:sz="0" w:space="0" w:color="auto"/>
        <w:right w:val="none" w:sz="0" w:space="0" w:color="auto"/>
      </w:divBdr>
    </w:div>
    <w:div w:id="462623159">
      <w:bodyDiv w:val="1"/>
      <w:marLeft w:val="0"/>
      <w:marRight w:val="0"/>
      <w:marTop w:val="0"/>
      <w:marBottom w:val="0"/>
      <w:divBdr>
        <w:top w:val="none" w:sz="0" w:space="0" w:color="auto"/>
        <w:left w:val="none" w:sz="0" w:space="0" w:color="auto"/>
        <w:bottom w:val="none" w:sz="0" w:space="0" w:color="auto"/>
        <w:right w:val="none" w:sz="0" w:space="0" w:color="auto"/>
      </w:divBdr>
    </w:div>
    <w:div w:id="496960589">
      <w:bodyDiv w:val="1"/>
      <w:marLeft w:val="0"/>
      <w:marRight w:val="0"/>
      <w:marTop w:val="0"/>
      <w:marBottom w:val="0"/>
      <w:divBdr>
        <w:top w:val="none" w:sz="0" w:space="0" w:color="auto"/>
        <w:left w:val="none" w:sz="0" w:space="0" w:color="auto"/>
        <w:bottom w:val="none" w:sz="0" w:space="0" w:color="auto"/>
        <w:right w:val="none" w:sz="0" w:space="0" w:color="auto"/>
      </w:divBdr>
    </w:div>
    <w:div w:id="690034123">
      <w:bodyDiv w:val="1"/>
      <w:marLeft w:val="0"/>
      <w:marRight w:val="0"/>
      <w:marTop w:val="0"/>
      <w:marBottom w:val="0"/>
      <w:divBdr>
        <w:top w:val="none" w:sz="0" w:space="0" w:color="auto"/>
        <w:left w:val="none" w:sz="0" w:space="0" w:color="auto"/>
        <w:bottom w:val="none" w:sz="0" w:space="0" w:color="auto"/>
        <w:right w:val="none" w:sz="0" w:space="0" w:color="auto"/>
      </w:divBdr>
    </w:div>
    <w:div w:id="704251075">
      <w:bodyDiv w:val="1"/>
      <w:marLeft w:val="0"/>
      <w:marRight w:val="0"/>
      <w:marTop w:val="0"/>
      <w:marBottom w:val="0"/>
      <w:divBdr>
        <w:top w:val="none" w:sz="0" w:space="0" w:color="auto"/>
        <w:left w:val="none" w:sz="0" w:space="0" w:color="auto"/>
        <w:bottom w:val="none" w:sz="0" w:space="0" w:color="auto"/>
        <w:right w:val="none" w:sz="0" w:space="0" w:color="auto"/>
      </w:divBdr>
    </w:div>
    <w:div w:id="853807917">
      <w:bodyDiv w:val="1"/>
      <w:marLeft w:val="0"/>
      <w:marRight w:val="0"/>
      <w:marTop w:val="0"/>
      <w:marBottom w:val="0"/>
      <w:divBdr>
        <w:top w:val="none" w:sz="0" w:space="0" w:color="auto"/>
        <w:left w:val="none" w:sz="0" w:space="0" w:color="auto"/>
        <w:bottom w:val="none" w:sz="0" w:space="0" w:color="auto"/>
        <w:right w:val="none" w:sz="0" w:space="0" w:color="auto"/>
      </w:divBdr>
    </w:div>
    <w:div w:id="1108087309">
      <w:bodyDiv w:val="1"/>
      <w:marLeft w:val="0"/>
      <w:marRight w:val="0"/>
      <w:marTop w:val="0"/>
      <w:marBottom w:val="0"/>
      <w:divBdr>
        <w:top w:val="none" w:sz="0" w:space="0" w:color="auto"/>
        <w:left w:val="none" w:sz="0" w:space="0" w:color="auto"/>
        <w:bottom w:val="none" w:sz="0" w:space="0" w:color="auto"/>
        <w:right w:val="none" w:sz="0" w:space="0" w:color="auto"/>
      </w:divBdr>
    </w:div>
    <w:div w:id="1134250369">
      <w:bodyDiv w:val="1"/>
      <w:marLeft w:val="0"/>
      <w:marRight w:val="0"/>
      <w:marTop w:val="0"/>
      <w:marBottom w:val="0"/>
      <w:divBdr>
        <w:top w:val="none" w:sz="0" w:space="0" w:color="auto"/>
        <w:left w:val="none" w:sz="0" w:space="0" w:color="auto"/>
        <w:bottom w:val="none" w:sz="0" w:space="0" w:color="auto"/>
        <w:right w:val="none" w:sz="0" w:space="0" w:color="auto"/>
      </w:divBdr>
    </w:div>
    <w:div w:id="1296326238">
      <w:bodyDiv w:val="1"/>
      <w:marLeft w:val="0"/>
      <w:marRight w:val="0"/>
      <w:marTop w:val="0"/>
      <w:marBottom w:val="0"/>
      <w:divBdr>
        <w:top w:val="none" w:sz="0" w:space="0" w:color="auto"/>
        <w:left w:val="none" w:sz="0" w:space="0" w:color="auto"/>
        <w:bottom w:val="none" w:sz="0" w:space="0" w:color="auto"/>
        <w:right w:val="none" w:sz="0" w:space="0" w:color="auto"/>
      </w:divBdr>
    </w:div>
    <w:div w:id="1320185821">
      <w:bodyDiv w:val="1"/>
      <w:marLeft w:val="0"/>
      <w:marRight w:val="0"/>
      <w:marTop w:val="0"/>
      <w:marBottom w:val="0"/>
      <w:divBdr>
        <w:top w:val="none" w:sz="0" w:space="0" w:color="auto"/>
        <w:left w:val="none" w:sz="0" w:space="0" w:color="auto"/>
        <w:bottom w:val="none" w:sz="0" w:space="0" w:color="auto"/>
        <w:right w:val="none" w:sz="0" w:space="0" w:color="auto"/>
      </w:divBdr>
    </w:div>
    <w:div w:id="1376857115">
      <w:bodyDiv w:val="1"/>
      <w:marLeft w:val="0"/>
      <w:marRight w:val="0"/>
      <w:marTop w:val="0"/>
      <w:marBottom w:val="0"/>
      <w:divBdr>
        <w:top w:val="none" w:sz="0" w:space="0" w:color="auto"/>
        <w:left w:val="none" w:sz="0" w:space="0" w:color="auto"/>
        <w:bottom w:val="none" w:sz="0" w:space="0" w:color="auto"/>
        <w:right w:val="none" w:sz="0" w:space="0" w:color="auto"/>
      </w:divBdr>
    </w:div>
    <w:div w:id="1434402081">
      <w:bodyDiv w:val="1"/>
      <w:marLeft w:val="0"/>
      <w:marRight w:val="0"/>
      <w:marTop w:val="0"/>
      <w:marBottom w:val="0"/>
      <w:divBdr>
        <w:top w:val="none" w:sz="0" w:space="0" w:color="auto"/>
        <w:left w:val="none" w:sz="0" w:space="0" w:color="auto"/>
        <w:bottom w:val="none" w:sz="0" w:space="0" w:color="auto"/>
        <w:right w:val="none" w:sz="0" w:space="0" w:color="auto"/>
      </w:divBdr>
    </w:div>
    <w:div w:id="1451779292">
      <w:bodyDiv w:val="1"/>
      <w:marLeft w:val="0"/>
      <w:marRight w:val="0"/>
      <w:marTop w:val="0"/>
      <w:marBottom w:val="0"/>
      <w:divBdr>
        <w:top w:val="none" w:sz="0" w:space="0" w:color="auto"/>
        <w:left w:val="none" w:sz="0" w:space="0" w:color="auto"/>
        <w:bottom w:val="none" w:sz="0" w:space="0" w:color="auto"/>
        <w:right w:val="none" w:sz="0" w:space="0" w:color="auto"/>
      </w:divBdr>
    </w:div>
    <w:div w:id="1474714606">
      <w:bodyDiv w:val="1"/>
      <w:marLeft w:val="0"/>
      <w:marRight w:val="0"/>
      <w:marTop w:val="0"/>
      <w:marBottom w:val="0"/>
      <w:divBdr>
        <w:top w:val="none" w:sz="0" w:space="0" w:color="auto"/>
        <w:left w:val="none" w:sz="0" w:space="0" w:color="auto"/>
        <w:bottom w:val="none" w:sz="0" w:space="0" w:color="auto"/>
        <w:right w:val="none" w:sz="0" w:space="0" w:color="auto"/>
      </w:divBdr>
    </w:div>
    <w:div w:id="1495805647">
      <w:bodyDiv w:val="1"/>
      <w:marLeft w:val="0"/>
      <w:marRight w:val="0"/>
      <w:marTop w:val="0"/>
      <w:marBottom w:val="0"/>
      <w:divBdr>
        <w:top w:val="none" w:sz="0" w:space="0" w:color="auto"/>
        <w:left w:val="none" w:sz="0" w:space="0" w:color="auto"/>
        <w:bottom w:val="none" w:sz="0" w:space="0" w:color="auto"/>
        <w:right w:val="none" w:sz="0" w:space="0" w:color="auto"/>
      </w:divBdr>
    </w:div>
    <w:div w:id="1524897980">
      <w:bodyDiv w:val="1"/>
      <w:marLeft w:val="0"/>
      <w:marRight w:val="0"/>
      <w:marTop w:val="0"/>
      <w:marBottom w:val="0"/>
      <w:divBdr>
        <w:top w:val="none" w:sz="0" w:space="0" w:color="auto"/>
        <w:left w:val="none" w:sz="0" w:space="0" w:color="auto"/>
        <w:bottom w:val="none" w:sz="0" w:space="0" w:color="auto"/>
        <w:right w:val="none" w:sz="0" w:space="0" w:color="auto"/>
      </w:divBdr>
    </w:div>
    <w:div w:id="1600219472">
      <w:bodyDiv w:val="1"/>
      <w:marLeft w:val="0"/>
      <w:marRight w:val="0"/>
      <w:marTop w:val="0"/>
      <w:marBottom w:val="0"/>
      <w:divBdr>
        <w:top w:val="none" w:sz="0" w:space="0" w:color="auto"/>
        <w:left w:val="none" w:sz="0" w:space="0" w:color="auto"/>
        <w:bottom w:val="none" w:sz="0" w:space="0" w:color="auto"/>
        <w:right w:val="none" w:sz="0" w:space="0" w:color="auto"/>
      </w:divBdr>
    </w:div>
    <w:div w:id="1656833006">
      <w:bodyDiv w:val="1"/>
      <w:marLeft w:val="0"/>
      <w:marRight w:val="0"/>
      <w:marTop w:val="0"/>
      <w:marBottom w:val="0"/>
      <w:divBdr>
        <w:top w:val="none" w:sz="0" w:space="0" w:color="auto"/>
        <w:left w:val="none" w:sz="0" w:space="0" w:color="auto"/>
        <w:bottom w:val="none" w:sz="0" w:space="0" w:color="auto"/>
        <w:right w:val="none" w:sz="0" w:space="0" w:color="auto"/>
      </w:divBdr>
    </w:div>
    <w:div w:id="1760104209">
      <w:bodyDiv w:val="1"/>
      <w:marLeft w:val="0"/>
      <w:marRight w:val="0"/>
      <w:marTop w:val="0"/>
      <w:marBottom w:val="0"/>
      <w:divBdr>
        <w:top w:val="none" w:sz="0" w:space="0" w:color="auto"/>
        <w:left w:val="none" w:sz="0" w:space="0" w:color="auto"/>
        <w:bottom w:val="none" w:sz="0" w:space="0" w:color="auto"/>
        <w:right w:val="none" w:sz="0" w:space="0" w:color="auto"/>
      </w:divBdr>
    </w:div>
    <w:div w:id="1806240429">
      <w:bodyDiv w:val="1"/>
      <w:marLeft w:val="0"/>
      <w:marRight w:val="0"/>
      <w:marTop w:val="0"/>
      <w:marBottom w:val="0"/>
      <w:divBdr>
        <w:top w:val="none" w:sz="0" w:space="0" w:color="auto"/>
        <w:left w:val="none" w:sz="0" w:space="0" w:color="auto"/>
        <w:bottom w:val="none" w:sz="0" w:space="0" w:color="auto"/>
        <w:right w:val="none" w:sz="0" w:space="0" w:color="auto"/>
      </w:divBdr>
    </w:div>
    <w:div w:id="1857303978">
      <w:bodyDiv w:val="1"/>
      <w:marLeft w:val="0"/>
      <w:marRight w:val="0"/>
      <w:marTop w:val="0"/>
      <w:marBottom w:val="0"/>
      <w:divBdr>
        <w:top w:val="none" w:sz="0" w:space="0" w:color="auto"/>
        <w:left w:val="none" w:sz="0" w:space="0" w:color="auto"/>
        <w:bottom w:val="none" w:sz="0" w:space="0" w:color="auto"/>
        <w:right w:val="none" w:sz="0" w:space="0" w:color="auto"/>
      </w:divBdr>
    </w:div>
    <w:div w:id="2115051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53C9A-931A-4072-ADD8-E43CD625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4477</Words>
  <Characters>23226</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27648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Aymeric Dano</dc:creator>
  <cp:keywords>RBC Internal</cp:keywords>
  <cp:lastModifiedBy>Koh, Melissa</cp:lastModifiedBy>
  <cp:revision>6</cp:revision>
  <cp:lastPrinted>2022-01-06T00:57:00Z</cp:lastPrinted>
  <dcterms:created xsi:type="dcterms:W3CDTF">2026-04-24T10:08:00Z</dcterms:created>
  <dcterms:modified xsi:type="dcterms:W3CDTF">2026-04-28T08:11:00Z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0011393</vt:lpwstr>
  </property>
  <property fmtid="{D5CDD505-2E9C-101B-9397-08002B2CF9AE}" pid="3" name="cpClientMatter">
    <vt:lpwstr>0011393-0000446</vt:lpwstr>
  </property>
  <property fmtid="{D5CDD505-2E9C-101B-9397-08002B2CF9AE}" pid="4" name="cpCombinedRef">
    <vt:lpwstr>0011393-0000446 ICM:31093518.2</vt:lpwstr>
  </property>
  <property fmtid="{D5CDD505-2E9C-101B-9397-08002B2CF9AE}" pid="5" name="cpDocRef">
    <vt:lpwstr>ICM:31093518.2</vt:lpwstr>
  </property>
  <property fmtid="{D5CDD505-2E9C-101B-9397-08002B2CF9AE}" pid="6" name="Matter">
    <vt:lpwstr>0000446</vt:lpwstr>
  </property>
  <property fmtid="{D5CDD505-2E9C-101B-9397-08002B2CF9AE}" pid="7" name="MSIP_Label_f01692fd-22c0-4d57-8827-ca1b33aa058d_Enabled">
    <vt:lpwstr>true</vt:lpwstr>
  </property>
  <property fmtid="{D5CDD505-2E9C-101B-9397-08002B2CF9AE}" pid="8" name="MSIP_Label_f01692fd-22c0-4d57-8827-ca1b33aa058d_Method">
    <vt:lpwstr>Privileged</vt:lpwstr>
  </property>
  <property fmtid="{D5CDD505-2E9C-101B-9397-08002B2CF9AE}" pid="9" name="MSIP_Label_f01692fd-22c0-4d57-8827-ca1b33aa058d_SiteId">
    <vt:lpwstr>9323b596-236d-4890-bed3-60232a849027</vt:lpwstr>
  </property>
  <property fmtid="{D5CDD505-2E9C-101B-9397-08002B2CF9AE}" pid="10" name="MSIP_Label_f01692fd-22c0-4d57-8827-ca1b33aa058d_Name">
    <vt:lpwstr>RBC Internal</vt:lpwstr>
  </property>
  <property fmtid="{D5CDD505-2E9C-101B-9397-08002B2CF9AE}" pid="11" name="Classification">
    <vt:lpwstr>TT_RBC_Internal</vt:lpwstr>
  </property>
</Properties>
</file>