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EB0F8" w14:textId="4DCEEB30" w:rsidR="00481E9D" w:rsidRDefault="00DB3F33" w:rsidP="00481E9D">
      <w:pPr>
        <w:spacing w:before="100" w:beforeAutospacing="1"/>
        <w:rPr>
          <w:rFonts w:ascii="HelveticaNeueLT Std" w:hAnsi="HelveticaNeueLT Std" w:cs="Arial"/>
          <w:sz w:val="16"/>
          <w:szCs w:val="18"/>
          <w:lang w:eastAsia="zh-CN"/>
        </w:rPr>
      </w:pPr>
      <w:r>
        <w:rPr>
          <w:rFonts w:ascii="HelveticaNeueLT Std" w:hAnsi="HelveticaNeueLT Std" w:cs="Arial"/>
          <w:b/>
          <w:color w:val="2E547D"/>
          <w:sz w:val="32"/>
          <w:szCs w:val="18"/>
        </w:rPr>
        <w:t>USD</w:t>
      </w:r>
      <w:r w:rsidR="00481E9D">
        <w:rPr>
          <w:rFonts w:ascii="HelveticaNeueLT Std" w:hAnsi="HelveticaNeueLT Std" w:cs="Arial"/>
          <w:b/>
          <w:color w:val="2E547D"/>
          <w:sz w:val="32"/>
          <w:szCs w:val="18"/>
        </w:rPr>
        <w:t xml:space="preserve"> </w:t>
      </w:r>
      <w:r w:rsidR="00510EB1">
        <w:rPr>
          <w:rFonts w:ascii="HelveticaNeueLT Std" w:hAnsi="HelveticaNeueLT Std" w:cs="Arial" w:hint="eastAsia"/>
          <w:b/>
          <w:color w:val="2E547D"/>
          <w:sz w:val="32"/>
          <w:szCs w:val="18"/>
          <w:lang w:eastAsia="zh-CN"/>
        </w:rPr>
        <w:t>1</w:t>
      </w:r>
      <w:r w:rsidR="00356884">
        <w:rPr>
          <w:rFonts w:ascii="HelveticaNeueLT Std" w:hAnsi="HelveticaNeueLT Std" w:cs="Arial"/>
          <w:b/>
          <w:color w:val="2E547D"/>
          <w:sz w:val="32"/>
          <w:szCs w:val="18"/>
        </w:rPr>
        <w:t>,</w:t>
      </w:r>
      <w:r w:rsidR="00976B28">
        <w:rPr>
          <w:rFonts w:ascii="HelveticaNeueLT Std" w:hAnsi="HelveticaNeueLT Std" w:cs="Arial"/>
          <w:b/>
          <w:color w:val="2E547D"/>
          <w:sz w:val="32"/>
          <w:szCs w:val="18"/>
          <w:lang w:eastAsia="zh-CN"/>
        </w:rPr>
        <w:t>1</w:t>
      </w:r>
      <w:r w:rsidR="00655703">
        <w:rPr>
          <w:rFonts w:ascii="HelveticaNeueLT Std" w:hAnsi="HelveticaNeueLT Std" w:cs="Arial"/>
          <w:b/>
          <w:color w:val="2E547D"/>
          <w:sz w:val="32"/>
          <w:szCs w:val="18"/>
        </w:rPr>
        <w:t>4</w:t>
      </w:r>
      <w:r w:rsidR="00356884">
        <w:rPr>
          <w:rFonts w:ascii="HelveticaNeueLT Std" w:hAnsi="HelveticaNeueLT Std" w:cs="Arial"/>
          <w:b/>
          <w:color w:val="2E547D"/>
          <w:sz w:val="32"/>
          <w:szCs w:val="18"/>
        </w:rPr>
        <w:t xml:space="preserve">0,000 </w:t>
      </w:r>
      <w:r w:rsidR="00481E9D" w:rsidRPr="00176923">
        <w:rPr>
          <w:rFonts w:ascii="HelveticaNeueLT Std" w:hAnsi="HelveticaNeueLT Std" w:cs="Arial"/>
          <w:b/>
          <w:color w:val="2E547D"/>
          <w:sz w:val="32"/>
          <w:szCs w:val="18"/>
        </w:rPr>
        <w:t xml:space="preserve">Zero Coupon Callable Notes </w:t>
      </w:r>
      <w:r w:rsidR="006715D6">
        <w:rPr>
          <w:rFonts w:ascii="HelveticaNeueLT Std" w:hAnsi="HelveticaNeueLT Std" w:cs="Arial"/>
          <w:b/>
          <w:color w:val="2E547D"/>
          <w:sz w:val="32"/>
          <w:szCs w:val="18"/>
        </w:rPr>
        <w:t xml:space="preserve">due </w:t>
      </w:r>
      <w:r w:rsidR="00510EB1">
        <w:rPr>
          <w:rFonts w:ascii="HelveticaNeueLT Std" w:hAnsi="HelveticaNeueLT Std" w:cs="Arial" w:hint="eastAsia"/>
          <w:b/>
          <w:color w:val="2E547D"/>
          <w:sz w:val="32"/>
          <w:szCs w:val="18"/>
          <w:lang w:eastAsia="zh-CN"/>
        </w:rPr>
        <w:t>2</w:t>
      </w:r>
      <w:r w:rsidR="002E5F54">
        <w:rPr>
          <w:rFonts w:ascii="HelveticaNeueLT Std" w:hAnsi="HelveticaNeueLT Std" w:cs="Arial"/>
          <w:b/>
          <w:color w:val="2E547D"/>
          <w:sz w:val="32"/>
          <w:szCs w:val="18"/>
          <w:lang w:eastAsia="zh-CN"/>
        </w:rPr>
        <w:t>9</w:t>
      </w:r>
      <w:r w:rsidR="00AC1F0D">
        <w:rPr>
          <w:rFonts w:ascii="HelveticaNeueLT Std" w:hAnsi="HelveticaNeueLT Std" w:cs="Arial" w:hint="eastAsia"/>
          <w:b/>
          <w:color w:val="2E547D"/>
          <w:sz w:val="32"/>
          <w:szCs w:val="18"/>
          <w:lang w:eastAsia="zh-CN"/>
        </w:rPr>
        <w:t xml:space="preserve"> October</w:t>
      </w:r>
      <w:r w:rsidR="007E3588" w:rsidRPr="00516C66">
        <w:rPr>
          <w:rFonts w:ascii="HelveticaNeueLT Std" w:hAnsi="HelveticaNeueLT Std" w:cs="Arial"/>
          <w:b/>
          <w:color w:val="2E547D"/>
          <w:sz w:val="32"/>
          <w:szCs w:val="18"/>
        </w:rPr>
        <w:t xml:space="preserve"> </w:t>
      </w:r>
      <w:r w:rsidR="00516C66" w:rsidRPr="00516C66">
        <w:rPr>
          <w:rFonts w:ascii="HelveticaNeueLT Std" w:hAnsi="HelveticaNeueLT Std" w:cs="Arial"/>
          <w:b/>
          <w:color w:val="2E547D"/>
          <w:sz w:val="32"/>
          <w:szCs w:val="18"/>
        </w:rPr>
        <w:t>20</w:t>
      </w:r>
      <w:r w:rsidR="002D6B19">
        <w:rPr>
          <w:rFonts w:ascii="HelveticaNeueLT Std" w:hAnsi="HelveticaNeueLT Std" w:cs="Arial" w:hint="eastAsia"/>
          <w:b/>
          <w:color w:val="2E547D"/>
          <w:sz w:val="32"/>
          <w:szCs w:val="18"/>
          <w:lang w:eastAsia="zh-CN"/>
        </w:rPr>
        <w:t>3</w:t>
      </w:r>
      <w:r w:rsidR="002E5F54">
        <w:rPr>
          <w:rFonts w:ascii="HelveticaNeueLT Std" w:hAnsi="HelveticaNeueLT Std" w:cs="Arial"/>
          <w:b/>
          <w:color w:val="2E547D"/>
          <w:sz w:val="32"/>
          <w:szCs w:val="18"/>
          <w:lang w:eastAsia="zh-CN"/>
        </w:rPr>
        <w:t>2</w:t>
      </w:r>
    </w:p>
    <w:p w14:paraId="03040197"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is provided for discussion and/or information purposes only and it does not constitute either an offer or the solicitation of an offer to enter into a </w:t>
      </w:r>
      <w:proofErr w:type="gramStart"/>
      <w:r w:rsidRPr="005B7B6E">
        <w:rPr>
          <w:rFonts w:ascii="HelveticaNeueLT Std" w:eastAsia="Times New Roman" w:hAnsi="HelveticaNeueLT Std" w:cs="Arial"/>
          <w:b/>
          <w:sz w:val="16"/>
          <w:szCs w:val="18"/>
          <w:lang w:val="en-US"/>
        </w:rPr>
        <w:t>securities</w:t>
      </w:r>
      <w:proofErr w:type="gramEnd"/>
      <w:r w:rsidRPr="005B7B6E">
        <w:rPr>
          <w:rFonts w:ascii="HelveticaNeueLT Std" w:eastAsia="Times New Roman" w:hAnsi="HelveticaNeueLT Std" w:cs="Arial"/>
          <w:b/>
          <w:sz w:val="16"/>
          <w:szCs w:val="18"/>
          <w:lang w:val="en-US"/>
        </w:rPr>
        <w:t xml:space="preserve"> or any other transaction. It is not intended to set forth a final expression of the terms and conditions of any transaction and it may be amended, superseded or replaced in its entirety by subsequent </w:t>
      </w:r>
      <w:proofErr w:type="spellStart"/>
      <w:r w:rsidRPr="005B7B6E">
        <w:rPr>
          <w:rFonts w:ascii="HelveticaNeueLT Std" w:eastAsia="Times New Roman" w:hAnsi="HelveticaNeueLT Std" w:cs="Arial"/>
          <w:b/>
          <w:sz w:val="16"/>
          <w:szCs w:val="18"/>
          <w:lang w:val="en-US"/>
        </w:rPr>
        <w:t>termsheets</w:t>
      </w:r>
      <w:proofErr w:type="spellEnd"/>
      <w:r w:rsidRPr="005B7B6E">
        <w:rPr>
          <w:rFonts w:ascii="HelveticaNeueLT Std" w:eastAsia="Times New Roman" w:hAnsi="HelveticaNeueLT Std" w:cs="Arial"/>
          <w:b/>
          <w:sz w:val="16"/>
          <w:szCs w:val="18"/>
          <w:lang w:val="en-US"/>
        </w:rPr>
        <w:t xml:space="preserve"> or other summaries of terms and conditions. 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does not purport to identify or suggest </w:t>
      </w:r>
      <w:proofErr w:type="gramStart"/>
      <w:r w:rsidRPr="005B7B6E">
        <w:rPr>
          <w:rFonts w:ascii="HelveticaNeueLT Std" w:eastAsia="Times New Roman" w:hAnsi="HelveticaNeueLT Std" w:cs="Arial"/>
          <w:b/>
          <w:sz w:val="16"/>
          <w:szCs w:val="18"/>
          <w:lang w:val="en-US"/>
        </w:rPr>
        <w:t>all of</w:t>
      </w:r>
      <w:proofErr w:type="gramEnd"/>
      <w:r w:rsidRPr="005B7B6E">
        <w:rPr>
          <w:rFonts w:ascii="HelveticaNeueLT Std" w:eastAsia="Times New Roman" w:hAnsi="HelveticaNeueLT Std" w:cs="Arial"/>
          <w:b/>
          <w:sz w:val="16"/>
          <w:szCs w:val="18"/>
          <w:lang w:val="en-US"/>
        </w:rPr>
        <w:t xml:space="preserve"> the risks (direct or indirect) which may be associated with the proposed investment.</w:t>
      </w:r>
    </w:p>
    <w:p w14:paraId="4BBDBDEB"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must be read in conjunction with the Prospectus (as supplemented or updated) for the Royal Bank of Canada </w:t>
      </w:r>
      <w:proofErr w:type="spellStart"/>
      <w:r w:rsidRPr="005B7B6E">
        <w:rPr>
          <w:rFonts w:ascii="HelveticaNeueLT Std" w:eastAsia="Times New Roman" w:hAnsi="HelveticaNeueLT Std" w:cs="Arial"/>
          <w:b/>
          <w:sz w:val="16"/>
          <w:szCs w:val="18"/>
          <w:lang w:val="en-US"/>
        </w:rPr>
        <w:t>Programme</w:t>
      </w:r>
      <w:proofErr w:type="spellEnd"/>
      <w:r w:rsidRPr="005B7B6E">
        <w:rPr>
          <w:rFonts w:ascii="HelveticaNeueLT Std" w:eastAsia="Times New Roman" w:hAnsi="HelveticaNeueLT Std" w:cs="Arial"/>
          <w:b/>
          <w:sz w:val="16"/>
          <w:szCs w:val="18"/>
          <w:lang w:val="en-US"/>
        </w:rPr>
        <w:t xml:space="preserve"> for the Issuance of Securities, current as of the issue date of the Notes (the "Base Prospectus"). The Base Prospectus can be obtained from http://rbcnotes.co.uk/Legal or such other successor display page that has been designated by the Issuer or provided by Royal Bank of Canada upon request. Terms used but not defined herein are as defined in the Base Prospectus and in particular the Terms and Conditions of the Notes (the "Conditions") set out therein.</w:t>
      </w:r>
    </w:p>
    <w:p w14:paraId="4BB335A2" w14:textId="2F511E3F"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No representation is made concerning the legal, tax, regulatory or accounting implications in the United Kingdom and we are not advising you in respect of such matters. </w:t>
      </w:r>
      <w:proofErr w:type="gramStart"/>
      <w:r w:rsidRPr="005B7B6E">
        <w:rPr>
          <w:rFonts w:ascii="HelveticaNeueLT Std" w:eastAsia="Times New Roman" w:hAnsi="HelveticaNeueLT Std" w:cs="Arial"/>
          <w:b/>
          <w:sz w:val="16"/>
          <w:szCs w:val="18"/>
          <w:lang w:val="en-US"/>
        </w:rPr>
        <w:t>Accordingly</w:t>
      </w:r>
      <w:proofErr w:type="gramEnd"/>
      <w:r w:rsidRPr="005B7B6E">
        <w:rPr>
          <w:rFonts w:ascii="HelveticaNeueLT Std" w:eastAsia="Times New Roman" w:hAnsi="HelveticaNeueLT Std" w:cs="Arial"/>
          <w:b/>
          <w:sz w:val="16"/>
          <w:szCs w:val="18"/>
          <w:lang w:val="en-US"/>
        </w:rPr>
        <w:t xml:space="preserve"> you must independently determine, with your own advisors, the appropriateness for you of the transaction before transacting.</w:t>
      </w:r>
    </w:p>
    <w:p w14:paraId="34FC6424" w14:textId="77777777" w:rsidR="00A94830" w:rsidRDefault="002628B3">
      <w:pPr>
        <w:pStyle w:val="TSHeading"/>
      </w:pPr>
      <w:r>
        <w:t>PRODUCT DESCRIPTION</w:t>
      </w:r>
    </w:p>
    <w:p w14:paraId="519A8F9F"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08"/>
        <w:gridCol w:w="7046"/>
      </w:tblGrid>
      <w:tr w:rsidR="00A94830" w14:paraId="46E43332" w14:textId="77777777" w:rsidTr="00CB296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318498BC" w14:textId="77777777" w:rsidR="00A94830" w:rsidRDefault="002628B3">
            <w:pPr>
              <w:pStyle w:val="TSTableTitle"/>
            </w:pPr>
            <w:r>
              <w:rPr>
                <w:b/>
              </w:rPr>
              <w:t>PRODUCT DETAILS</w:t>
            </w:r>
          </w:p>
        </w:tc>
      </w:tr>
      <w:tr w:rsidR="00A94830" w14:paraId="02810CAF"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B8CE945" w14:textId="77777777" w:rsidR="00A94830" w:rsidRDefault="002628B3">
            <w:pPr>
              <w:pStyle w:val="TSTableHeading"/>
            </w:pPr>
            <w:r>
              <w:rPr>
                <w:b/>
              </w:rPr>
              <w:t>Issuer</w:t>
            </w:r>
          </w:p>
        </w:tc>
        <w:tc>
          <w:tcPr>
            <w:tcW w:w="7046" w:type="dxa"/>
          </w:tcPr>
          <w:p w14:paraId="27DDC952" w14:textId="3976B01B" w:rsidR="00A94830" w:rsidRDefault="002628B3" w:rsidP="00EF3007">
            <w:pPr>
              <w:pStyle w:val="TSTableBody"/>
              <w:cnfStyle w:val="000000100000" w:firstRow="0" w:lastRow="0" w:firstColumn="0" w:lastColumn="0" w:oddVBand="0" w:evenVBand="0" w:oddHBand="1" w:evenHBand="0" w:firstRowFirstColumn="0" w:firstRowLastColumn="0" w:lastRowFirstColumn="0" w:lastRowLastColumn="0"/>
            </w:pPr>
            <w:r>
              <w:t>Royal Bank of Canada (</w:t>
            </w:r>
            <w:r w:rsidR="00EF3007">
              <w:t xml:space="preserve">Toronto </w:t>
            </w:r>
            <w:r>
              <w:t xml:space="preserve">Branch) </w:t>
            </w:r>
          </w:p>
        </w:tc>
      </w:tr>
      <w:tr w:rsidR="00CB2963" w14:paraId="04F30A1F"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D04A66" w14:textId="160E1941" w:rsidR="00CB2963" w:rsidRDefault="00CB2963" w:rsidP="00CB2963">
            <w:pPr>
              <w:pStyle w:val="TSTableHeading"/>
            </w:pPr>
            <w:r>
              <w:rPr>
                <w:b/>
              </w:rPr>
              <w:t>Rating</w:t>
            </w:r>
          </w:p>
        </w:tc>
        <w:tc>
          <w:tcPr>
            <w:tcW w:w="7046" w:type="dxa"/>
          </w:tcPr>
          <w:p w14:paraId="70C30711" w14:textId="297AFB66" w:rsidR="00CB2963" w:rsidRDefault="00CB2963" w:rsidP="00CB2963">
            <w:pPr>
              <w:pStyle w:val="TSTableBody"/>
              <w:cnfStyle w:val="000000010000" w:firstRow="0" w:lastRow="0" w:firstColumn="0" w:lastColumn="0" w:oddVBand="0" w:evenVBand="0" w:oddHBand="0" w:evenHBand="1" w:firstRowFirstColumn="0" w:firstRowLastColumn="0" w:lastRowFirstColumn="0" w:lastRowLastColumn="0"/>
            </w:pPr>
            <w:r>
              <w:t>A1 (Stable outlook) by Moody’s and A (Stable outlook) by Standard and Poor’s</w:t>
            </w:r>
          </w:p>
        </w:tc>
      </w:tr>
      <w:tr w:rsidR="00CB2963" w14:paraId="3EECD88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7AD7ECF3" w14:textId="3EA8A589" w:rsidR="00CB2963" w:rsidRPr="00281D5F" w:rsidRDefault="00CB2963" w:rsidP="00CB2963">
            <w:pPr>
              <w:pStyle w:val="TSTableHeading"/>
              <w:rPr>
                <w:b/>
              </w:rPr>
            </w:pPr>
            <w:r w:rsidRPr="00C4736D">
              <w:rPr>
                <w:b/>
              </w:rPr>
              <w:t>Bail-</w:t>
            </w:r>
            <w:proofErr w:type="spellStart"/>
            <w:r w:rsidRPr="00C4736D">
              <w:rPr>
                <w:b/>
              </w:rPr>
              <w:t>inable</w:t>
            </w:r>
            <w:proofErr w:type="spellEnd"/>
            <w:r w:rsidRPr="00C4736D">
              <w:rPr>
                <w:b/>
              </w:rPr>
              <w:t xml:space="preserve"> Notes:</w:t>
            </w:r>
          </w:p>
        </w:tc>
        <w:tc>
          <w:tcPr>
            <w:tcW w:w="7046" w:type="dxa"/>
          </w:tcPr>
          <w:p w14:paraId="48AA0E21" w14:textId="376C98CC" w:rsidR="00CB2963" w:rsidRDefault="00CB2963" w:rsidP="00CB2963">
            <w:pPr>
              <w:pStyle w:val="TSTableBody"/>
              <w:cnfStyle w:val="000000100000" w:firstRow="0" w:lastRow="0" w:firstColumn="0" w:lastColumn="0" w:oddVBand="0" w:evenVBand="0" w:oddHBand="1" w:evenHBand="0" w:firstRowFirstColumn="0" w:firstRowLastColumn="0" w:lastRowFirstColumn="0" w:lastRowLastColumn="0"/>
            </w:pPr>
            <w:r w:rsidRPr="00C4736D">
              <w:t>Notes are subject to bail-in conversion in Canadian Bail-in Regime</w:t>
            </w:r>
          </w:p>
        </w:tc>
      </w:tr>
      <w:tr w:rsidR="00404044" w14:paraId="1A006B9A"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3BE3BA" w14:textId="77777777" w:rsidR="00404044" w:rsidRDefault="00404044" w:rsidP="00404044">
            <w:pPr>
              <w:pStyle w:val="TSTableHeading"/>
            </w:pPr>
            <w:r>
              <w:rPr>
                <w:b/>
              </w:rPr>
              <w:t>Currency</w:t>
            </w:r>
          </w:p>
        </w:tc>
        <w:tc>
          <w:tcPr>
            <w:tcW w:w="7046" w:type="dxa"/>
          </w:tcPr>
          <w:p w14:paraId="579C15E2" w14:textId="5443CEEE"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USD</w:t>
            </w:r>
          </w:p>
        </w:tc>
      </w:tr>
      <w:tr w:rsidR="00404044" w14:paraId="6D8842CB"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D2CA706" w14:textId="77777777" w:rsidR="00404044" w:rsidRDefault="00404044" w:rsidP="00404044">
            <w:pPr>
              <w:pStyle w:val="TSTableHeading"/>
            </w:pPr>
            <w:r>
              <w:rPr>
                <w:b/>
              </w:rPr>
              <w:t>Issue Size</w:t>
            </w:r>
          </w:p>
        </w:tc>
        <w:tc>
          <w:tcPr>
            <w:tcW w:w="7046" w:type="dxa"/>
          </w:tcPr>
          <w:p w14:paraId="55104DDF" w14:textId="1CA62412" w:rsidR="00404044" w:rsidRPr="000F6B0D" w:rsidRDefault="00DB3F33" w:rsidP="00892AA3">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t xml:space="preserve">USD </w:t>
            </w:r>
            <w:r w:rsidR="00510EB1">
              <w:rPr>
                <w:rFonts w:eastAsiaTheme="minorEastAsia" w:hint="eastAsia"/>
                <w:lang w:eastAsia="zh-CN"/>
              </w:rPr>
              <w:t>1</w:t>
            </w:r>
            <w:r w:rsidR="004D39E3">
              <w:t>,</w:t>
            </w:r>
            <w:r w:rsidR="00976B28">
              <w:t>1</w:t>
            </w:r>
            <w:r w:rsidR="00655703">
              <w:t>4</w:t>
            </w:r>
            <w:r w:rsidR="00404044">
              <w:t>0,000</w:t>
            </w:r>
          </w:p>
        </w:tc>
      </w:tr>
      <w:tr w:rsidR="00404044" w14:paraId="76836E3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775D55" w14:textId="77777777" w:rsidR="00404044" w:rsidRDefault="00404044" w:rsidP="00404044">
            <w:pPr>
              <w:pStyle w:val="TSTableHeading"/>
            </w:pPr>
            <w:r>
              <w:rPr>
                <w:b/>
              </w:rPr>
              <w:t>Specified Denomination</w:t>
            </w:r>
          </w:p>
        </w:tc>
        <w:tc>
          <w:tcPr>
            <w:tcW w:w="7046" w:type="dxa"/>
          </w:tcPr>
          <w:p w14:paraId="41445BD2" w14:textId="2B15B352"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 xml:space="preserve">USD </w:t>
            </w:r>
            <w:r w:rsidR="00404044">
              <w:t>1,000</w:t>
            </w:r>
          </w:p>
        </w:tc>
      </w:tr>
      <w:tr w:rsidR="00404044" w14:paraId="26009C9A"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290A08" w14:textId="77777777" w:rsidR="00404044" w:rsidRDefault="00404044" w:rsidP="00404044">
            <w:pPr>
              <w:pStyle w:val="TSTableHeading"/>
            </w:pPr>
            <w:r>
              <w:rPr>
                <w:b/>
              </w:rPr>
              <w:t>Calculation Amount</w:t>
            </w:r>
          </w:p>
        </w:tc>
        <w:tc>
          <w:tcPr>
            <w:tcW w:w="7046" w:type="dxa"/>
          </w:tcPr>
          <w:p w14:paraId="60728FB9" w14:textId="7B748EAD" w:rsidR="00404044" w:rsidRDefault="00DB3F33" w:rsidP="00404044">
            <w:pPr>
              <w:pStyle w:val="TSTableBody"/>
              <w:cnfStyle w:val="000000100000" w:firstRow="0" w:lastRow="0" w:firstColumn="0" w:lastColumn="0" w:oddVBand="0" w:evenVBand="0" w:oddHBand="1" w:evenHBand="0" w:firstRowFirstColumn="0" w:firstRowLastColumn="0" w:lastRowFirstColumn="0" w:lastRowLastColumn="0"/>
            </w:pPr>
            <w:r>
              <w:t xml:space="preserve">USD </w:t>
            </w:r>
            <w:r w:rsidR="00404044">
              <w:t>1,000</w:t>
            </w:r>
          </w:p>
        </w:tc>
      </w:tr>
      <w:tr w:rsidR="00404044" w14:paraId="698786DE"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084851C" w14:textId="77777777" w:rsidR="00404044" w:rsidRPr="00281D5F" w:rsidRDefault="00404044" w:rsidP="00404044">
            <w:pPr>
              <w:pStyle w:val="TSTableHeading"/>
              <w:rPr>
                <w:b/>
              </w:rPr>
            </w:pPr>
            <w:r>
              <w:rPr>
                <w:b/>
              </w:rPr>
              <w:t>Minimum Trading Size</w:t>
            </w:r>
          </w:p>
        </w:tc>
        <w:tc>
          <w:tcPr>
            <w:tcW w:w="7046" w:type="dxa"/>
          </w:tcPr>
          <w:p w14:paraId="76F32962" w14:textId="31A9C2AF" w:rsidR="00404044" w:rsidRPr="0043537E" w:rsidRDefault="00DB3F33" w:rsidP="00404044">
            <w:pPr>
              <w:pStyle w:val="Tabletext"/>
              <w:cnfStyle w:val="000000010000" w:firstRow="0" w:lastRow="0" w:firstColumn="0" w:lastColumn="0" w:oddVBand="0" w:evenVBand="0" w:oddHBand="0" w:evenHBand="1" w:firstRowFirstColumn="0" w:firstRowLastColumn="0" w:lastRowFirstColumn="0" w:lastRowLastColumn="0"/>
              <w:rPr>
                <w:rFonts w:cs="Arial"/>
                <w:szCs w:val="18"/>
              </w:rPr>
            </w:pPr>
            <w:r>
              <w:t>USD</w:t>
            </w:r>
            <w:r>
              <w:rPr>
                <w:rFonts w:cs="Arial"/>
                <w:szCs w:val="18"/>
              </w:rPr>
              <w:t xml:space="preserve"> </w:t>
            </w:r>
            <w:r w:rsidR="00404044">
              <w:rPr>
                <w:rFonts w:cs="Arial"/>
                <w:szCs w:val="18"/>
              </w:rPr>
              <w:t>1,000</w:t>
            </w:r>
          </w:p>
        </w:tc>
      </w:tr>
      <w:tr w:rsidR="00404044" w14:paraId="7F0DEAF5"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F4DD82E" w14:textId="77777777" w:rsidR="00404044" w:rsidRDefault="00404044" w:rsidP="00404044">
            <w:pPr>
              <w:pStyle w:val="TSTableHeading"/>
            </w:pPr>
            <w:r>
              <w:rPr>
                <w:b/>
              </w:rPr>
              <w:t>Settlement Method</w:t>
            </w:r>
          </w:p>
        </w:tc>
        <w:tc>
          <w:tcPr>
            <w:tcW w:w="7046" w:type="dxa"/>
          </w:tcPr>
          <w:p w14:paraId="386B14E8" w14:textId="77777777"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Cash Settlement</w:t>
            </w:r>
          </w:p>
        </w:tc>
      </w:tr>
      <w:tr w:rsidR="00404044" w14:paraId="02D4D623"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53FBC1AC" w14:textId="77777777" w:rsidR="00404044" w:rsidRDefault="00404044" w:rsidP="00404044">
            <w:pPr>
              <w:pStyle w:val="TSTableHeading"/>
            </w:pPr>
            <w:r>
              <w:rPr>
                <w:b/>
              </w:rPr>
              <w:t>ISIN</w:t>
            </w:r>
          </w:p>
        </w:tc>
        <w:tc>
          <w:tcPr>
            <w:tcW w:w="7046" w:type="dxa"/>
          </w:tcPr>
          <w:p w14:paraId="7C41C94F" w14:textId="0E0754E3" w:rsidR="00404044" w:rsidRPr="00352CD5" w:rsidRDefault="002E5F54" w:rsidP="0040404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sidRPr="002E5F54">
              <w:rPr>
                <w:rFonts w:eastAsiaTheme="minorEastAsia"/>
                <w:lang w:eastAsia="zh-CN"/>
              </w:rPr>
              <w:t>XS3213347175</w:t>
            </w:r>
          </w:p>
        </w:tc>
      </w:tr>
      <w:tr w:rsidR="00AA1786" w14:paraId="221FCA4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A27A8B3" w14:textId="77777777" w:rsidR="00AA1786" w:rsidRDefault="00AA1786" w:rsidP="00AA1786">
            <w:pPr>
              <w:pStyle w:val="TSTableHeading"/>
            </w:pPr>
            <w:r>
              <w:rPr>
                <w:b/>
              </w:rPr>
              <w:t>RBC Code</w:t>
            </w:r>
          </w:p>
        </w:tc>
        <w:tc>
          <w:tcPr>
            <w:tcW w:w="7046" w:type="dxa"/>
          </w:tcPr>
          <w:p w14:paraId="1E7FA669" w14:textId="015AD246" w:rsidR="00482D3F" w:rsidRPr="00510EB1" w:rsidRDefault="00A70A58" w:rsidP="00AA1786">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rsidRPr="00A70A58">
              <w:t>HSBC-RLNE-1</w:t>
            </w:r>
            <w:r w:rsidR="002E5F54">
              <w:t>4</w:t>
            </w:r>
          </w:p>
        </w:tc>
      </w:tr>
      <w:tr w:rsidR="00AA1786" w14:paraId="0E9188D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610C98A9" w14:textId="003C31F9" w:rsidR="00AA1786" w:rsidRPr="006D4C58" w:rsidRDefault="00AA1786" w:rsidP="00AA1786">
            <w:pPr>
              <w:pStyle w:val="TSTableHeading"/>
              <w:rPr>
                <w:b/>
              </w:rPr>
            </w:pPr>
            <w:r>
              <w:rPr>
                <w:b/>
              </w:rPr>
              <w:t>RIC Code</w:t>
            </w:r>
          </w:p>
        </w:tc>
        <w:tc>
          <w:tcPr>
            <w:tcW w:w="7046" w:type="dxa"/>
          </w:tcPr>
          <w:p w14:paraId="3B498574" w14:textId="2ABEABCE" w:rsidR="00AA1786" w:rsidRDefault="002E5F54" w:rsidP="00AA1786">
            <w:pPr>
              <w:pStyle w:val="TSTableBody"/>
              <w:cnfStyle w:val="000000010000" w:firstRow="0" w:lastRow="0" w:firstColumn="0" w:lastColumn="0" w:oddVBand="0" w:evenVBand="0" w:oddHBand="0" w:evenHBand="1" w:firstRowFirstColumn="0" w:firstRowLastColumn="0" w:lastRowFirstColumn="0" w:lastRowLastColumn="0"/>
            </w:pPr>
            <w:r w:rsidRPr="002E5F54">
              <w:rPr>
                <w:rFonts w:eastAsiaTheme="minorEastAsia"/>
                <w:lang w:eastAsia="zh-CN"/>
              </w:rPr>
              <w:t>XS3213347175</w:t>
            </w:r>
            <w:r w:rsidR="00A70A58">
              <w:rPr>
                <w:rFonts w:eastAsiaTheme="minorEastAsia" w:hint="eastAsia"/>
                <w:lang w:eastAsia="zh-CN"/>
              </w:rPr>
              <w:t>=RBCN</w:t>
            </w:r>
          </w:p>
        </w:tc>
      </w:tr>
      <w:tr w:rsidR="00404044" w14:paraId="385E19F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8A01894" w14:textId="77777777" w:rsidR="00404044" w:rsidRDefault="00404044" w:rsidP="00404044">
            <w:pPr>
              <w:pStyle w:val="TSTableHeading"/>
            </w:pPr>
            <w:r>
              <w:rPr>
                <w:b/>
              </w:rPr>
              <w:t>Issue Price</w:t>
            </w:r>
          </w:p>
        </w:tc>
        <w:tc>
          <w:tcPr>
            <w:tcW w:w="7046" w:type="dxa"/>
          </w:tcPr>
          <w:p w14:paraId="70DBB93C" w14:textId="1591759E"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100% of the Calculation Amount</w:t>
            </w:r>
          </w:p>
        </w:tc>
      </w:tr>
      <w:tr w:rsidR="00015C54" w14:paraId="51B624C6"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3755564" w14:textId="068DC84F" w:rsidR="00015C54" w:rsidRPr="00015C54" w:rsidRDefault="00015C54" w:rsidP="00404044">
            <w:pPr>
              <w:pStyle w:val="TSTableHeading"/>
              <w:rPr>
                <w:b/>
                <w:bCs/>
              </w:rPr>
            </w:pPr>
            <w:r w:rsidRPr="00015C54">
              <w:rPr>
                <w:b/>
                <w:bCs/>
              </w:rPr>
              <w:t>Selling Concession</w:t>
            </w:r>
          </w:p>
        </w:tc>
        <w:tc>
          <w:tcPr>
            <w:tcW w:w="7046" w:type="dxa"/>
          </w:tcPr>
          <w:p w14:paraId="47598E55" w14:textId="74CDA781" w:rsidR="00015C54" w:rsidRDefault="002E5F54" w:rsidP="00015C54">
            <w:pPr>
              <w:pStyle w:val="TSTableBody"/>
              <w:cnfStyle w:val="000000010000" w:firstRow="0" w:lastRow="0" w:firstColumn="0" w:lastColumn="0" w:oddVBand="0" w:evenVBand="0" w:oddHBand="0" w:evenHBand="1" w:firstRowFirstColumn="0" w:firstRowLastColumn="0" w:lastRowFirstColumn="0" w:lastRowLastColumn="0"/>
            </w:pPr>
            <w:r>
              <w:rPr>
                <w:rFonts w:eastAsiaTheme="minorEastAsia"/>
                <w:lang w:eastAsia="zh-CN"/>
              </w:rPr>
              <w:t>1.50</w:t>
            </w:r>
            <w:r w:rsidR="00015C54">
              <w:t xml:space="preserve">%. The Issuer </w:t>
            </w:r>
            <w:r w:rsidR="00976B28">
              <w:t xml:space="preserve">will </w:t>
            </w:r>
            <w:r w:rsidR="00015C54">
              <w:t xml:space="preserve">pay discounts and commissions of USD </w:t>
            </w:r>
            <w:r>
              <w:t>15</w:t>
            </w:r>
            <w:r w:rsidR="00015C54">
              <w:t xml:space="preserve">.00 per USD 1,000 </w:t>
            </w:r>
            <w:r w:rsidR="00953CEA">
              <w:t xml:space="preserve">Calculation </w:t>
            </w:r>
            <w:proofErr w:type="gramStart"/>
            <w:r w:rsidR="00015C54">
              <w:t>Amount</w:t>
            </w:r>
            <w:proofErr w:type="gramEnd"/>
            <w:r w:rsidR="00015C54">
              <w:t xml:space="preserve"> of Notes in connection with the distribution of the Notes</w:t>
            </w:r>
          </w:p>
        </w:tc>
      </w:tr>
      <w:tr w:rsidR="000F7FFA" w14:paraId="273E8D91"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40D825B" w14:textId="25C9B0D2" w:rsidR="000F7FFA" w:rsidRPr="000F7FFA" w:rsidRDefault="000F7FFA" w:rsidP="00404044">
            <w:pPr>
              <w:pStyle w:val="TSTableHeading"/>
              <w:rPr>
                <w:b/>
              </w:rPr>
            </w:pPr>
            <w:r w:rsidRPr="000F7FFA">
              <w:rPr>
                <w:b/>
              </w:rPr>
              <w:t>IRR</w:t>
            </w:r>
          </w:p>
        </w:tc>
        <w:tc>
          <w:tcPr>
            <w:tcW w:w="7046" w:type="dxa"/>
          </w:tcPr>
          <w:p w14:paraId="354EB33A" w14:textId="10A004CA" w:rsidR="000F7FFA" w:rsidRDefault="002E5F54" w:rsidP="00404044">
            <w:pPr>
              <w:pStyle w:val="TSTableBody"/>
              <w:cnfStyle w:val="000000100000" w:firstRow="0" w:lastRow="0" w:firstColumn="0" w:lastColumn="0" w:oddVBand="0" w:evenVBand="0" w:oddHBand="1" w:evenHBand="0" w:firstRowFirstColumn="0" w:firstRowLastColumn="0" w:lastRowFirstColumn="0" w:lastRowLastColumn="0"/>
            </w:pPr>
            <w:r>
              <w:t>4.90</w:t>
            </w:r>
            <w:r w:rsidR="000F7FFA">
              <w:t>%, Linear</w:t>
            </w:r>
          </w:p>
        </w:tc>
      </w:tr>
      <w:tr w:rsidR="00404044" w14:paraId="319200C5"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D1743F2" w14:textId="77777777" w:rsidR="00404044" w:rsidRDefault="00404044" w:rsidP="00404044">
            <w:pPr>
              <w:pStyle w:val="TSTableHeading"/>
            </w:pPr>
            <w:r>
              <w:rPr>
                <w:b/>
              </w:rPr>
              <w:t>Listing</w:t>
            </w:r>
          </w:p>
        </w:tc>
        <w:tc>
          <w:tcPr>
            <w:tcW w:w="7046" w:type="dxa"/>
          </w:tcPr>
          <w:p w14:paraId="50965043" w14:textId="5A46B74C"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None</w:t>
            </w:r>
          </w:p>
        </w:tc>
      </w:tr>
    </w:tbl>
    <w:p w14:paraId="753AB89F" w14:textId="77777777" w:rsidR="00A94830" w:rsidRDefault="00A94830">
      <w:pPr>
        <w:spacing w:after="0" w:line="96" w:lineRule="auto"/>
      </w:pPr>
    </w:p>
    <w:p w14:paraId="68C99290" w14:textId="77777777" w:rsidR="00281D5F" w:rsidRDefault="00281D5F">
      <w:pPr>
        <w:spacing w:after="0" w:line="96" w:lineRule="auto"/>
      </w:pPr>
    </w:p>
    <w:p w14:paraId="1808803F" w14:textId="77777777" w:rsidR="00281D5F" w:rsidRDefault="00281D5F">
      <w:pPr>
        <w:spacing w:after="0" w:line="96" w:lineRule="auto"/>
      </w:pPr>
    </w:p>
    <w:tbl>
      <w:tblPr>
        <w:tblStyle w:val="TSTableMain"/>
        <w:tblW w:w="0" w:type="auto"/>
        <w:jc w:val="center"/>
        <w:tblLook w:val="04A0" w:firstRow="1" w:lastRow="0" w:firstColumn="1" w:lastColumn="0" w:noHBand="0" w:noVBand="1"/>
      </w:tblPr>
      <w:tblGrid>
        <w:gridCol w:w="2955"/>
        <w:gridCol w:w="7099"/>
      </w:tblGrid>
      <w:tr w:rsidR="00A94830" w14:paraId="62FD5AAF" w14:textId="77777777" w:rsidTr="00356884">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192CB3E0" w14:textId="77777777" w:rsidR="00A94830" w:rsidRDefault="002628B3">
            <w:pPr>
              <w:pStyle w:val="TSTableTitle"/>
            </w:pPr>
            <w:r>
              <w:rPr>
                <w:b/>
              </w:rPr>
              <w:t>DATES</w:t>
            </w:r>
          </w:p>
        </w:tc>
      </w:tr>
      <w:tr w:rsidR="00356884" w14:paraId="72160F0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2C8CE243" w14:textId="77777777" w:rsidR="00356884" w:rsidRDefault="00356884" w:rsidP="00356884">
            <w:pPr>
              <w:pStyle w:val="TSTableHeading"/>
            </w:pPr>
            <w:r>
              <w:rPr>
                <w:b/>
              </w:rPr>
              <w:t>Trade Date</w:t>
            </w:r>
          </w:p>
        </w:tc>
        <w:tc>
          <w:tcPr>
            <w:tcW w:w="7099" w:type="dxa"/>
          </w:tcPr>
          <w:p w14:paraId="33D0F364" w14:textId="3941042E" w:rsidR="00356884" w:rsidRPr="002D6B19" w:rsidRDefault="002E5F54" w:rsidP="00356884">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t>24</w:t>
            </w:r>
            <w:r w:rsidR="00356884">
              <w:t xml:space="preserve"> </w:t>
            </w:r>
            <w:r w:rsidR="00AC1F0D">
              <w:rPr>
                <w:rFonts w:eastAsiaTheme="minorEastAsia" w:hint="eastAsia"/>
                <w:lang w:eastAsia="zh-CN"/>
              </w:rPr>
              <w:t>October</w:t>
            </w:r>
            <w:r w:rsidR="007E3588">
              <w:t xml:space="preserve"> </w:t>
            </w:r>
            <w:r w:rsidR="00356884">
              <w:t>202</w:t>
            </w:r>
            <w:r w:rsidR="002D6B19">
              <w:rPr>
                <w:rFonts w:eastAsiaTheme="minorEastAsia" w:hint="eastAsia"/>
                <w:lang w:eastAsia="zh-CN"/>
              </w:rPr>
              <w:t>5</w:t>
            </w:r>
          </w:p>
        </w:tc>
      </w:tr>
      <w:tr w:rsidR="00356884" w14:paraId="76820EFC" w14:textId="77777777" w:rsidTr="0035688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534A84BC" w14:textId="77777777" w:rsidR="00356884" w:rsidRDefault="00356884" w:rsidP="00356884">
            <w:pPr>
              <w:pStyle w:val="TSTableHeading"/>
            </w:pPr>
            <w:r>
              <w:rPr>
                <w:b/>
              </w:rPr>
              <w:t>Issue Date</w:t>
            </w:r>
          </w:p>
        </w:tc>
        <w:tc>
          <w:tcPr>
            <w:tcW w:w="7099" w:type="dxa"/>
          </w:tcPr>
          <w:p w14:paraId="6CD3055F" w14:textId="4F4B7F5A" w:rsidR="00356884" w:rsidRPr="002D6B19" w:rsidRDefault="00510EB1" w:rsidP="0035688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Pr>
                <w:rFonts w:eastAsiaTheme="minorEastAsia" w:hint="eastAsia"/>
                <w:lang w:eastAsia="zh-CN"/>
              </w:rPr>
              <w:t>2</w:t>
            </w:r>
            <w:r w:rsidR="002E5F54">
              <w:rPr>
                <w:rFonts w:eastAsiaTheme="minorEastAsia"/>
                <w:lang w:eastAsia="zh-CN"/>
              </w:rPr>
              <w:t>9</w:t>
            </w:r>
            <w:r w:rsidR="00356884">
              <w:t xml:space="preserve"> </w:t>
            </w:r>
            <w:r w:rsidR="00AC1F0D">
              <w:rPr>
                <w:rFonts w:eastAsiaTheme="minorEastAsia" w:hint="eastAsia"/>
                <w:lang w:eastAsia="zh-CN"/>
              </w:rPr>
              <w:t>October</w:t>
            </w:r>
            <w:r w:rsidR="007E3588">
              <w:t xml:space="preserve"> </w:t>
            </w:r>
            <w:r w:rsidR="00356884">
              <w:t>202</w:t>
            </w:r>
            <w:r w:rsidR="002D6B19">
              <w:rPr>
                <w:rFonts w:eastAsiaTheme="minorEastAsia" w:hint="eastAsia"/>
                <w:lang w:eastAsia="zh-CN"/>
              </w:rPr>
              <w:t>5</w:t>
            </w:r>
          </w:p>
        </w:tc>
      </w:tr>
      <w:tr w:rsidR="00356884" w14:paraId="5B57AB9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7685D4F3" w14:textId="77777777" w:rsidR="00356884" w:rsidRDefault="00356884" w:rsidP="00356884">
            <w:pPr>
              <w:pStyle w:val="TSTableHeading"/>
            </w:pPr>
            <w:r>
              <w:rPr>
                <w:b/>
              </w:rPr>
              <w:t>Maturity Date</w:t>
            </w:r>
          </w:p>
        </w:tc>
        <w:tc>
          <w:tcPr>
            <w:tcW w:w="7099" w:type="dxa"/>
          </w:tcPr>
          <w:p w14:paraId="074774C7" w14:textId="5E6B5651" w:rsidR="00356884" w:rsidRDefault="00510EB1" w:rsidP="00356884">
            <w:pPr>
              <w:pStyle w:val="TSTableBody"/>
              <w:cnfStyle w:val="000000100000" w:firstRow="0" w:lastRow="0" w:firstColumn="0" w:lastColumn="0" w:oddVBand="0" w:evenVBand="0" w:oddHBand="1" w:evenHBand="0" w:firstRowFirstColumn="0" w:firstRowLastColumn="0" w:lastRowFirstColumn="0" w:lastRowLastColumn="0"/>
            </w:pPr>
            <w:r>
              <w:rPr>
                <w:rFonts w:eastAsiaTheme="minorEastAsia" w:hint="eastAsia"/>
                <w:lang w:eastAsia="zh-CN"/>
              </w:rPr>
              <w:t>2</w:t>
            </w:r>
            <w:r w:rsidR="002E5F54">
              <w:rPr>
                <w:rFonts w:eastAsiaTheme="minorEastAsia"/>
                <w:lang w:eastAsia="zh-CN"/>
              </w:rPr>
              <w:t>9</w:t>
            </w:r>
            <w:r w:rsidR="00356884">
              <w:t xml:space="preserve"> </w:t>
            </w:r>
            <w:r w:rsidR="00657E8C">
              <w:rPr>
                <w:rFonts w:eastAsiaTheme="minorEastAsia" w:hint="eastAsia"/>
                <w:lang w:eastAsia="zh-CN"/>
              </w:rPr>
              <w:t>October</w:t>
            </w:r>
            <w:r w:rsidR="007E3588">
              <w:t xml:space="preserve"> </w:t>
            </w:r>
            <w:r w:rsidR="00356884">
              <w:t>20</w:t>
            </w:r>
            <w:r w:rsidR="002D6B19">
              <w:rPr>
                <w:rFonts w:eastAsiaTheme="minorEastAsia" w:hint="eastAsia"/>
                <w:lang w:eastAsia="zh-CN"/>
              </w:rPr>
              <w:t>3</w:t>
            </w:r>
            <w:r w:rsidR="002E5F54">
              <w:rPr>
                <w:rFonts w:eastAsiaTheme="minorEastAsia"/>
                <w:lang w:eastAsia="zh-CN"/>
              </w:rPr>
              <w:t>2</w:t>
            </w:r>
            <w:r w:rsidR="00356884">
              <w:t xml:space="preserve">, </w:t>
            </w:r>
            <w:r w:rsidR="00356884" w:rsidRPr="0043537E">
              <w:rPr>
                <w:bCs/>
              </w:rPr>
              <w:t xml:space="preserve">subject to </w:t>
            </w:r>
            <w:r w:rsidR="00356884">
              <w:rPr>
                <w:bCs/>
              </w:rPr>
              <w:t>the Call Feature</w:t>
            </w:r>
          </w:p>
        </w:tc>
      </w:tr>
    </w:tbl>
    <w:p w14:paraId="2E60DDB3" w14:textId="77777777" w:rsidR="00DB3F33" w:rsidRDefault="00DB3F33" w:rsidP="00281D5F">
      <w:pPr>
        <w:pStyle w:val="TSTableFootnote"/>
      </w:pPr>
    </w:p>
    <w:p w14:paraId="4C08BD09" w14:textId="77777777" w:rsidR="00A94830" w:rsidRDefault="00A94830" w:rsidP="00281D5F">
      <w:pPr>
        <w:spacing w:after="0" w:line="96" w:lineRule="auto"/>
      </w:pPr>
    </w:p>
    <w:tbl>
      <w:tblPr>
        <w:tblStyle w:val="TSTableMain"/>
        <w:tblW w:w="0" w:type="auto"/>
        <w:jc w:val="center"/>
        <w:tblLook w:val="04A0" w:firstRow="1" w:lastRow="0" w:firstColumn="1" w:lastColumn="0" w:noHBand="0" w:noVBand="1"/>
      </w:tblPr>
      <w:tblGrid>
        <w:gridCol w:w="2977"/>
        <w:gridCol w:w="7077"/>
      </w:tblGrid>
      <w:tr w:rsidR="00A94830" w14:paraId="33003D8E" w14:textId="77777777" w:rsidTr="000C2F4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0648D42C" w14:textId="77777777" w:rsidR="00A94830" w:rsidRDefault="002628B3">
            <w:pPr>
              <w:pStyle w:val="TSTableTitle"/>
            </w:pPr>
            <w:r>
              <w:rPr>
                <w:b/>
              </w:rPr>
              <w:t>EARLY REDEMPTION INFORMATION</w:t>
            </w:r>
          </w:p>
        </w:tc>
      </w:tr>
      <w:tr w:rsidR="00356884" w14:paraId="05461873" w14:textId="77777777" w:rsidTr="000C2F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7" w:type="dxa"/>
          </w:tcPr>
          <w:p w14:paraId="2B463273" w14:textId="77777777" w:rsidR="00356884" w:rsidRDefault="00356884" w:rsidP="00356884">
            <w:pPr>
              <w:pStyle w:val="TSTableHeading"/>
            </w:pPr>
            <w:r>
              <w:rPr>
                <w:b/>
              </w:rPr>
              <w:t>Call Feature</w:t>
            </w:r>
          </w:p>
        </w:tc>
        <w:tc>
          <w:tcPr>
            <w:tcW w:w="7077" w:type="dxa"/>
          </w:tcPr>
          <w:p w14:paraId="495BA8FD"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97795F">
              <w:t xml:space="preserve">Issuer has the right to call the Notes at </w:t>
            </w:r>
            <w:r>
              <w:t>the Issuer Call Amount</w:t>
            </w:r>
            <w:r w:rsidRPr="0097795F">
              <w:t xml:space="preserve"> on every </w:t>
            </w:r>
            <w:r>
              <w:t>Issuer Call Date upon giving 5</w:t>
            </w:r>
            <w:r w:rsidRPr="0097795F">
              <w:t xml:space="preserve"> business days’ notic</w:t>
            </w:r>
            <w:r>
              <w:t>e</w:t>
            </w:r>
            <w:r w:rsidRPr="0097795F">
              <w:t>, provided that where the redemption would lead to a breach of the Issuer’s TLAC requirement each redemption will be subject to the prior approval of the Superintendent of Financial Institutions (Canada)</w:t>
            </w:r>
          </w:p>
          <w:p w14:paraId="5C6EBDD0"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BA0481">
              <w:t xml:space="preserve">Should the </w:t>
            </w:r>
            <w:r>
              <w:t>Is</w:t>
            </w:r>
            <w:r w:rsidRPr="00BA0481">
              <w:t>suer Call Feature not be exercised, the investor receives the Final Redemption Amount.</w:t>
            </w:r>
          </w:p>
          <w:tbl>
            <w:tblPr>
              <w:tblStyle w:val="TableGrid"/>
              <w:tblW w:w="0" w:type="auto"/>
              <w:tblLook w:val="04A0" w:firstRow="1" w:lastRow="0" w:firstColumn="1" w:lastColumn="0" w:noHBand="0" w:noVBand="1"/>
            </w:tblPr>
            <w:tblGrid>
              <w:gridCol w:w="3425"/>
              <w:gridCol w:w="3426"/>
            </w:tblGrid>
            <w:tr w:rsidR="00356884" w:rsidRPr="003B667F" w14:paraId="3D52F0A3" w14:textId="77777777" w:rsidTr="001127D2">
              <w:tc>
                <w:tcPr>
                  <w:tcW w:w="3425" w:type="dxa"/>
                </w:tcPr>
                <w:p w14:paraId="1F74AE7B" w14:textId="77777777" w:rsidR="00356884" w:rsidRPr="003B667F" w:rsidRDefault="00356884" w:rsidP="00356884">
                  <w:pPr>
                    <w:pStyle w:val="TSTableBody"/>
                    <w:rPr>
                      <w:b/>
                      <w:bCs/>
                    </w:rPr>
                  </w:pPr>
                  <w:r w:rsidRPr="003B667F">
                    <w:rPr>
                      <w:b/>
                      <w:bCs/>
                    </w:rPr>
                    <w:t>Issuer Call Date(s)</w:t>
                  </w:r>
                </w:p>
              </w:tc>
              <w:tc>
                <w:tcPr>
                  <w:tcW w:w="3426" w:type="dxa"/>
                </w:tcPr>
                <w:p w14:paraId="5A5656F6" w14:textId="77777777" w:rsidR="00356884" w:rsidRPr="003B667F" w:rsidRDefault="00356884" w:rsidP="00356884">
                  <w:pPr>
                    <w:pStyle w:val="TSTableBody"/>
                    <w:rPr>
                      <w:b/>
                      <w:bCs/>
                    </w:rPr>
                  </w:pPr>
                  <w:r w:rsidRPr="003B667F">
                    <w:rPr>
                      <w:b/>
                      <w:bCs/>
                    </w:rPr>
                    <w:t>Issuer Call Amount(s)</w:t>
                  </w:r>
                </w:p>
              </w:tc>
            </w:tr>
            <w:tr w:rsidR="00356884" w14:paraId="25DD5145" w14:textId="77777777" w:rsidTr="001127D2">
              <w:tc>
                <w:tcPr>
                  <w:tcW w:w="3425" w:type="dxa"/>
                </w:tcPr>
                <w:p w14:paraId="31E66BD1" w14:textId="02C0D2A2" w:rsidR="00356884" w:rsidRPr="002D6B19" w:rsidRDefault="008D0592" w:rsidP="00356884">
                  <w:pPr>
                    <w:pStyle w:val="TSTableBody"/>
                    <w:rPr>
                      <w:rFonts w:eastAsiaTheme="minorEastAsia"/>
                      <w:lang w:eastAsia="zh-CN"/>
                    </w:rPr>
                  </w:pPr>
                  <w:r>
                    <w:t>29</w:t>
                  </w:r>
                  <w:r w:rsidR="00356884">
                    <w:t>/</w:t>
                  </w:r>
                  <w:r w:rsidR="00AC1F0D">
                    <w:rPr>
                      <w:rFonts w:eastAsiaTheme="minorEastAsia" w:hint="eastAsia"/>
                      <w:lang w:eastAsia="zh-CN"/>
                    </w:rPr>
                    <w:t>10</w:t>
                  </w:r>
                  <w:r w:rsidR="00356884">
                    <w:t>/202</w:t>
                  </w:r>
                  <w:r w:rsidR="002D6B19">
                    <w:rPr>
                      <w:rFonts w:eastAsiaTheme="minorEastAsia" w:hint="eastAsia"/>
                      <w:lang w:eastAsia="zh-CN"/>
                    </w:rPr>
                    <w:t>6</w:t>
                  </w:r>
                </w:p>
              </w:tc>
              <w:tc>
                <w:tcPr>
                  <w:tcW w:w="3426" w:type="dxa"/>
                </w:tcPr>
                <w:p w14:paraId="6FC2F927" w14:textId="2906269E" w:rsidR="00356884" w:rsidRDefault="00356884" w:rsidP="00356884">
                  <w:pPr>
                    <w:pStyle w:val="TSTableBody"/>
                  </w:pPr>
                  <w:r>
                    <w:t xml:space="preserve">Calculation Amount x </w:t>
                  </w:r>
                  <w:r w:rsidR="005629EE">
                    <w:t>10</w:t>
                  </w:r>
                  <w:r w:rsidR="008D0592">
                    <w:t>4</w:t>
                  </w:r>
                  <w:r w:rsidR="005629EE">
                    <w:t>.</w:t>
                  </w:r>
                  <w:r w:rsidR="008D0592">
                    <w:t>900</w:t>
                  </w:r>
                  <w:r>
                    <w:t>%</w:t>
                  </w:r>
                </w:p>
              </w:tc>
            </w:tr>
            <w:tr w:rsidR="008D0592" w14:paraId="4B05AAE4" w14:textId="77777777" w:rsidTr="001127D2">
              <w:tc>
                <w:tcPr>
                  <w:tcW w:w="3425" w:type="dxa"/>
                </w:tcPr>
                <w:p w14:paraId="36838089" w14:textId="4EFB7CF0" w:rsidR="008D0592" w:rsidRPr="002D6B19" w:rsidRDefault="008D0592" w:rsidP="008D0592">
                  <w:pPr>
                    <w:pStyle w:val="TSTableBody"/>
                    <w:rPr>
                      <w:rFonts w:eastAsiaTheme="minorEastAsia"/>
                      <w:lang w:eastAsia="zh-CN"/>
                    </w:rPr>
                  </w:pPr>
                  <w:r>
                    <w:t>29/0</w:t>
                  </w:r>
                  <w:r>
                    <w:rPr>
                      <w:rFonts w:eastAsiaTheme="minorEastAsia" w:hint="eastAsia"/>
                      <w:lang w:eastAsia="zh-CN"/>
                    </w:rPr>
                    <w:t>4</w:t>
                  </w:r>
                  <w:r>
                    <w:t>/2027</w:t>
                  </w:r>
                </w:p>
              </w:tc>
              <w:tc>
                <w:tcPr>
                  <w:tcW w:w="3426" w:type="dxa"/>
                </w:tcPr>
                <w:p w14:paraId="6DE6D1A5" w14:textId="6BC0BEB1" w:rsidR="008D0592" w:rsidRDefault="008D0592" w:rsidP="008D0592">
                  <w:pPr>
                    <w:pStyle w:val="TSTableBody"/>
                  </w:pPr>
                  <w:r>
                    <w:t xml:space="preserve">Calculation Amount x </w:t>
                  </w:r>
                  <w:r w:rsidRPr="00D14CA7">
                    <w:t>107.350%</w:t>
                  </w:r>
                </w:p>
              </w:tc>
            </w:tr>
            <w:tr w:rsidR="008D0592" w14:paraId="2F95F751" w14:textId="77777777" w:rsidTr="001127D2">
              <w:tc>
                <w:tcPr>
                  <w:tcW w:w="3425" w:type="dxa"/>
                </w:tcPr>
                <w:p w14:paraId="02316C46" w14:textId="7AAC286C" w:rsidR="008D0592" w:rsidRPr="002D6B19" w:rsidRDefault="008D0592" w:rsidP="008D0592">
                  <w:pPr>
                    <w:pStyle w:val="TSTableBody"/>
                    <w:rPr>
                      <w:rFonts w:eastAsiaTheme="minorEastAsia"/>
                      <w:lang w:eastAsia="zh-CN"/>
                    </w:rPr>
                  </w:pPr>
                  <w:r>
                    <w:t>29/</w:t>
                  </w:r>
                  <w:r>
                    <w:rPr>
                      <w:rFonts w:eastAsiaTheme="minorEastAsia" w:hint="eastAsia"/>
                      <w:lang w:eastAsia="zh-CN"/>
                    </w:rPr>
                    <w:t>10</w:t>
                  </w:r>
                  <w:r>
                    <w:t>/202</w:t>
                  </w:r>
                  <w:r>
                    <w:rPr>
                      <w:rFonts w:eastAsiaTheme="minorEastAsia" w:hint="eastAsia"/>
                      <w:lang w:eastAsia="zh-CN"/>
                    </w:rPr>
                    <w:t>7</w:t>
                  </w:r>
                </w:p>
              </w:tc>
              <w:tc>
                <w:tcPr>
                  <w:tcW w:w="3426" w:type="dxa"/>
                </w:tcPr>
                <w:p w14:paraId="3D137C57" w14:textId="5C607EDD" w:rsidR="008D0592" w:rsidRDefault="008D0592" w:rsidP="008D0592">
                  <w:pPr>
                    <w:pStyle w:val="TSTableBody"/>
                  </w:pPr>
                  <w:r>
                    <w:t xml:space="preserve">Calculation Amount x </w:t>
                  </w:r>
                  <w:r w:rsidRPr="00D14CA7">
                    <w:t>109.800%</w:t>
                  </w:r>
                </w:p>
              </w:tc>
            </w:tr>
            <w:tr w:rsidR="008D0592" w14:paraId="7855AD90" w14:textId="77777777" w:rsidTr="001127D2">
              <w:tc>
                <w:tcPr>
                  <w:tcW w:w="3425" w:type="dxa"/>
                </w:tcPr>
                <w:p w14:paraId="13088FBB" w14:textId="3AC9BE1D" w:rsidR="008D0592" w:rsidRPr="002D6B19" w:rsidRDefault="008D0592" w:rsidP="008D0592">
                  <w:pPr>
                    <w:pStyle w:val="TSTableBody"/>
                    <w:rPr>
                      <w:rFonts w:eastAsiaTheme="minorEastAsia"/>
                      <w:lang w:eastAsia="zh-CN"/>
                    </w:rPr>
                  </w:pPr>
                  <w:r>
                    <w:t>29/0</w:t>
                  </w:r>
                  <w:r>
                    <w:rPr>
                      <w:rFonts w:eastAsiaTheme="minorEastAsia" w:hint="eastAsia"/>
                      <w:lang w:eastAsia="zh-CN"/>
                    </w:rPr>
                    <w:t>4</w:t>
                  </w:r>
                  <w:r>
                    <w:t>/2028</w:t>
                  </w:r>
                </w:p>
              </w:tc>
              <w:tc>
                <w:tcPr>
                  <w:tcW w:w="3426" w:type="dxa"/>
                </w:tcPr>
                <w:p w14:paraId="4A7EAA3C" w14:textId="7CEFDA25" w:rsidR="008D0592" w:rsidRDefault="008D0592" w:rsidP="008D0592">
                  <w:pPr>
                    <w:pStyle w:val="TSTableBody"/>
                  </w:pPr>
                  <w:r>
                    <w:t xml:space="preserve">Calculation Amount x </w:t>
                  </w:r>
                  <w:r w:rsidRPr="00D14CA7">
                    <w:t>112.250%</w:t>
                  </w:r>
                </w:p>
              </w:tc>
            </w:tr>
            <w:tr w:rsidR="008D0592" w14:paraId="4284E9B8" w14:textId="77777777" w:rsidTr="001127D2">
              <w:tc>
                <w:tcPr>
                  <w:tcW w:w="3425" w:type="dxa"/>
                </w:tcPr>
                <w:p w14:paraId="09F0717D" w14:textId="6CD197F1" w:rsidR="008D0592" w:rsidRPr="002D6B19" w:rsidRDefault="008D0592" w:rsidP="008D0592">
                  <w:pPr>
                    <w:pStyle w:val="TSTableBody"/>
                    <w:rPr>
                      <w:rFonts w:eastAsiaTheme="minorEastAsia"/>
                      <w:lang w:eastAsia="zh-CN"/>
                    </w:rPr>
                  </w:pPr>
                  <w:r>
                    <w:t>29/</w:t>
                  </w:r>
                  <w:r>
                    <w:rPr>
                      <w:rFonts w:eastAsiaTheme="minorEastAsia" w:hint="eastAsia"/>
                      <w:lang w:eastAsia="zh-CN"/>
                    </w:rPr>
                    <w:t>10</w:t>
                  </w:r>
                  <w:r>
                    <w:t>/2028</w:t>
                  </w:r>
                </w:p>
              </w:tc>
              <w:tc>
                <w:tcPr>
                  <w:tcW w:w="3426" w:type="dxa"/>
                </w:tcPr>
                <w:p w14:paraId="683E8BC5" w14:textId="1890B2EF" w:rsidR="008D0592" w:rsidRDefault="008D0592" w:rsidP="008D0592">
                  <w:pPr>
                    <w:pStyle w:val="TSTableBody"/>
                  </w:pPr>
                  <w:r>
                    <w:t xml:space="preserve">Calculation Amount x </w:t>
                  </w:r>
                  <w:r w:rsidRPr="00D14CA7">
                    <w:t>114.700%</w:t>
                  </w:r>
                </w:p>
              </w:tc>
            </w:tr>
            <w:tr w:rsidR="008D0592" w14:paraId="4EBEDA9F" w14:textId="77777777" w:rsidTr="001127D2">
              <w:tc>
                <w:tcPr>
                  <w:tcW w:w="3425" w:type="dxa"/>
                </w:tcPr>
                <w:p w14:paraId="12422241" w14:textId="76C4AC19" w:rsidR="008D0592" w:rsidRPr="002D6B19" w:rsidRDefault="008D0592" w:rsidP="008D0592">
                  <w:pPr>
                    <w:pStyle w:val="TSTableBody"/>
                    <w:rPr>
                      <w:rFonts w:eastAsiaTheme="minorEastAsia"/>
                      <w:lang w:eastAsia="zh-CN"/>
                    </w:rPr>
                  </w:pPr>
                  <w:r>
                    <w:t>29/0</w:t>
                  </w:r>
                  <w:r>
                    <w:rPr>
                      <w:rFonts w:eastAsiaTheme="minorEastAsia" w:hint="eastAsia"/>
                      <w:lang w:eastAsia="zh-CN"/>
                    </w:rPr>
                    <w:t>4</w:t>
                  </w:r>
                  <w:r>
                    <w:t>/2029</w:t>
                  </w:r>
                </w:p>
              </w:tc>
              <w:tc>
                <w:tcPr>
                  <w:tcW w:w="3426" w:type="dxa"/>
                </w:tcPr>
                <w:p w14:paraId="0E28CFF6" w14:textId="022D271C" w:rsidR="008D0592" w:rsidRDefault="008D0592" w:rsidP="008D0592">
                  <w:pPr>
                    <w:pStyle w:val="TSTableBody"/>
                  </w:pPr>
                  <w:r>
                    <w:t xml:space="preserve">Calculation Amount x </w:t>
                  </w:r>
                  <w:r w:rsidRPr="00D14CA7">
                    <w:t>117.150%</w:t>
                  </w:r>
                </w:p>
              </w:tc>
            </w:tr>
            <w:tr w:rsidR="008D0592" w14:paraId="5E8F0C75" w14:textId="77777777" w:rsidTr="001127D2">
              <w:tc>
                <w:tcPr>
                  <w:tcW w:w="3425" w:type="dxa"/>
                </w:tcPr>
                <w:p w14:paraId="0AD5DFD4" w14:textId="3F5E0CF8" w:rsidR="008D0592" w:rsidRPr="002D6B19" w:rsidRDefault="008D0592" w:rsidP="008D0592">
                  <w:pPr>
                    <w:pStyle w:val="TSTableBody"/>
                    <w:rPr>
                      <w:rFonts w:eastAsiaTheme="minorEastAsia"/>
                      <w:lang w:eastAsia="zh-CN"/>
                    </w:rPr>
                  </w:pPr>
                  <w:r>
                    <w:t>29/</w:t>
                  </w:r>
                  <w:r>
                    <w:rPr>
                      <w:rFonts w:eastAsiaTheme="minorEastAsia" w:hint="eastAsia"/>
                      <w:lang w:eastAsia="zh-CN"/>
                    </w:rPr>
                    <w:t>10</w:t>
                  </w:r>
                  <w:r>
                    <w:t>/2029</w:t>
                  </w:r>
                </w:p>
              </w:tc>
              <w:tc>
                <w:tcPr>
                  <w:tcW w:w="3426" w:type="dxa"/>
                </w:tcPr>
                <w:p w14:paraId="49F8883B" w14:textId="19421E10" w:rsidR="008D0592" w:rsidRDefault="008D0592" w:rsidP="008D0592">
                  <w:pPr>
                    <w:pStyle w:val="TSTableBody"/>
                  </w:pPr>
                  <w:r>
                    <w:t xml:space="preserve">Calculation Amount x </w:t>
                  </w:r>
                  <w:r w:rsidRPr="00D14CA7">
                    <w:t>119.600%</w:t>
                  </w:r>
                </w:p>
              </w:tc>
            </w:tr>
            <w:tr w:rsidR="008D0592" w14:paraId="32DFDA8D" w14:textId="77777777" w:rsidTr="001127D2">
              <w:tc>
                <w:tcPr>
                  <w:tcW w:w="3425" w:type="dxa"/>
                </w:tcPr>
                <w:p w14:paraId="273DA383" w14:textId="491218E9" w:rsidR="008D0592" w:rsidRPr="002D6B19" w:rsidRDefault="008D0592" w:rsidP="008D0592">
                  <w:pPr>
                    <w:pStyle w:val="TSTableBody"/>
                    <w:rPr>
                      <w:rFonts w:eastAsiaTheme="minorEastAsia"/>
                      <w:lang w:eastAsia="zh-CN"/>
                    </w:rPr>
                  </w:pPr>
                  <w:r>
                    <w:t>29/0</w:t>
                  </w:r>
                  <w:r>
                    <w:rPr>
                      <w:rFonts w:eastAsiaTheme="minorEastAsia" w:hint="eastAsia"/>
                      <w:lang w:eastAsia="zh-CN"/>
                    </w:rPr>
                    <w:t>4</w:t>
                  </w:r>
                  <w:r>
                    <w:t>/2030</w:t>
                  </w:r>
                </w:p>
              </w:tc>
              <w:tc>
                <w:tcPr>
                  <w:tcW w:w="3426" w:type="dxa"/>
                </w:tcPr>
                <w:p w14:paraId="02B69E34" w14:textId="18880AD5" w:rsidR="008D0592" w:rsidRDefault="008D0592" w:rsidP="008D0592">
                  <w:pPr>
                    <w:pStyle w:val="TSTableBody"/>
                  </w:pPr>
                  <w:r>
                    <w:t xml:space="preserve">Calculation Amount x </w:t>
                  </w:r>
                  <w:r w:rsidRPr="00D14CA7">
                    <w:t>122.050%</w:t>
                  </w:r>
                </w:p>
              </w:tc>
            </w:tr>
            <w:tr w:rsidR="008D0592" w14:paraId="139719ED" w14:textId="77777777" w:rsidTr="001127D2">
              <w:tc>
                <w:tcPr>
                  <w:tcW w:w="3425" w:type="dxa"/>
                </w:tcPr>
                <w:p w14:paraId="4AC1E2D5" w14:textId="316668FE" w:rsidR="008D0592" w:rsidRDefault="008D0592" w:rsidP="008D0592">
                  <w:pPr>
                    <w:pStyle w:val="TSTableBody"/>
                    <w:rPr>
                      <w:rFonts w:eastAsiaTheme="minorEastAsia"/>
                      <w:lang w:eastAsia="zh-CN"/>
                    </w:rPr>
                  </w:pPr>
                  <w:r>
                    <w:t>29/</w:t>
                  </w:r>
                  <w:r>
                    <w:rPr>
                      <w:rFonts w:eastAsiaTheme="minorEastAsia" w:hint="eastAsia"/>
                      <w:lang w:eastAsia="zh-CN"/>
                    </w:rPr>
                    <w:t>10</w:t>
                  </w:r>
                  <w:r>
                    <w:t>/2030</w:t>
                  </w:r>
                </w:p>
              </w:tc>
              <w:tc>
                <w:tcPr>
                  <w:tcW w:w="3426" w:type="dxa"/>
                </w:tcPr>
                <w:p w14:paraId="0B27DEB2" w14:textId="36144EA4" w:rsidR="008D0592" w:rsidRPr="00AA0025" w:rsidRDefault="008D0592" w:rsidP="008D0592">
                  <w:pPr>
                    <w:pStyle w:val="TSTableBody"/>
                  </w:pPr>
                  <w:r>
                    <w:t xml:space="preserve">Calculation Amount x </w:t>
                  </w:r>
                  <w:r w:rsidRPr="00D14CA7">
                    <w:t>124.500%</w:t>
                  </w:r>
                </w:p>
              </w:tc>
            </w:tr>
            <w:tr w:rsidR="008D0592" w14:paraId="5B4B2FD5" w14:textId="77777777" w:rsidTr="001127D2">
              <w:tc>
                <w:tcPr>
                  <w:tcW w:w="3425" w:type="dxa"/>
                </w:tcPr>
                <w:p w14:paraId="26CA429C" w14:textId="48C6B333" w:rsidR="008D0592" w:rsidRDefault="008D0592" w:rsidP="008D0592">
                  <w:pPr>
                    <w:pStyle w:val="TSTableBody"/>
                    <w:rPr>
                      <w:rFonts w:eastAsiaTheme="minorEastAsia"/>
                      <w:lang w:eastAsia="zh-CN"/>
                    </w:rPr>
                  </w:pPr>
                  <w:r>
                    <w:t>29/0</w:t>
                  </w:r>
                  <w:r>
                    <w:rPr>
                      <w:rFonts w:eastAsiaTheme="minorEastAsia" w:hint="eastAsia"/>
                      <w:lang w:eastAsia="zh-CN"/>
                    </w:rPr>
                    <w:t>4</w:t>
                  </w:r>
                  <w:r>
                    <w:t>/2031</w:t>
                  </w:r>
                </w:p>
              </w:tc>
              <w:tc>
                <w:tcPr>
                  <w:tcW w:w="3426" w:type="dxa"/>
                </w:tcPr>
                <w:p w14:paraId="386A2646" w14:textId="4419CB6F" w:rsidR="008D0592" w:rsidRPr="00AA0025" w:rsidRDefault="008D0592" w:rsidP="008D0592">
                  <w:pPr>
                    <w:pStyle w:val="TSTableBody"/>
                  </w:pPr>
                  <w:r>
                    <w:t xml:space="preserve">Calculation Amount x </w:t>
                  </w:r>
                  <w:r w:rsidRPr="00D14CA7">
                    <w:t>126.950%</w:t>
                  </w:r>
                </w:p>
              </w:tc>
            </w:tr>
            <w:tr w:rsidR="008D0592" w14:paraId="18AA0AB1" w14:textId="77777777" w:rsidTr="001127D2">
              <w:tc>
                <w:tcPr>
                  <w:tcW w:w="3425" w:type="dxa"/>
                </w:tcPr>
                <w:p w14:paraId="6E76E780" w14:textId="20DEE604" w:rsidR="008D0592" w:rsidRDefault="008D0592" w:rsidP="008D0592">
                  <w:pPr>
                    <w:pStyle w:val="TSTableBody"/>
                    <w:rPr>
                      <w:rFonts w:eastAsiaTheme="minorEastAsia"/>
                      <w:lang w:eastAsia="zh-CN"/>
                    </w:rPr>
                  </w:pPr>
                  <w:r>
                    <w:t>29/</w:t>
                  </w:r>
                  <w:r>
                    <w:rPr>
                      <w:rFonts w:eastAsiaTheme="minorEastAsia" w:hint="eastAsia"/>
                      <w:lang w:eastAsia="zh-CN"/>
                    </w:rPr>
                    <w:t>10</w:t>
                  </w:r>
                  <w:r>
                    <w:t>/2031</w:t>
                  </w:r>
                </w:p>
              </w:tc>
              <w:tc>
                <w:tcPr>
                  <w:tcW w:w="3426" w:type="dxa"/>
                </w:tcPr>
                <w:p w14:paraId="629C13A2" w14:textId="2C9E43B5" w:rsidR="008D0592" w:rsidRPr="00AA0025" w:rsidRDefault="008D0592" w:rsidP="008D0592">
                  <w:pPr>
                    <w:pStyle w:val="TSTableBody"/>
                  </w:pPr>
                  <w:r>
                    <w:t xml:space="preserve">Calculation Amount x </w:t>
                  </w:r>
                  <w:r w:rsidRPr="00D14CA7">
                    <w:t>129.400%</w:t>
                  </w:r>
                </w:p>
              </w:tc>
            </w:tr>
            <w:tr w:rsidR="008D0592" w14:paraId="4E51322B" w14:textId="77777777" w:rsidTr="001127D2">
              <w:tc>
                <w:tcPr>
                  <w:tcW w:w="3425" w:type="dxa"/>
                </w:tcPr>
                <w:p w14:paraId="4E68DDCD" w14:textId="09A66959" w:rsidR="008D0592" w:rsidRDefault="008D0592" w:rsidP="008D0592">
                  <w:pPr>
                    <w:pStyle w:val="TSTableBody"/>
                    <w:rPr>
                      <w:rFonts w:eastAsiaTheme="minorEastAsia"/>
                      <w:lang w:eastAsia="zh-CN"/>
                    </w:rPr>
                  </w:pPr>
                  <w:r>
                    <w:t>29/0</w:t>
                  </w:r>
                  <w:r>
                    <w:rPr>
                      <w:rFonts w:eastAsiaTheme="minorEastAsia" w:hint="eastAsia"/>
                      <w:lang w:eastAsia="zh-CN"/>
                    </w:rPr>
                    <w:t>4</w:t>
                  </w:r>
                  <w:r>
                    <w:t>/2032</w:t>
                  </w:r>
                </w:p>
              </w:tc>
              <w:tc>
                <w:tcPr>
                  <w:tcW w:w="3426" w:type="dxa"/>
                </w:tcPr>
                <w:p w14:paraId="2811CF7A" w14:textId="4E983D30" w:rsidR="008D0592" w:rsidRPr="00AA0025" w:rsidRDefault="008D0592" w:rsidP="008D0592">
                  <w:pPr>
                    <w:pStyle w:val="TSTableBody"/>
                  </w:pPr>
                  <w:r>
                    <w:t xml:space="preserve">Calculation Amount x </w:t>
                  </w:r>
                  <w:r w:rsidRPr="00D14CA7">
                    <w:t>131.850%</w:t>
                  </w:r>
                </w:p>
              </w:tc>
            </w:tr>
          </w:tbl>
          <w:p w14:paraId="3F0A32A7" w14:textId="2209DD00"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p>
        </w:tc>
      </w:tr>
    </w:tbl>
    <w:p w14:paraId="6D2496D7" w14:textId="77777777" w:rsidR="00A94830" w:rsidRDefault="00A94830">
      <w:pPr>
        <w:spacing w:after="0" w:line="24" w:lineRule="auto"/>
      </w:pPr>
    </w:p>
    <w:p w14:paraId="2FBBB69C" w14:textId="77777777" w:rsidR="00A94830" w:rsidRDefault="00A94830">
      <w:pPr>
        <w:pStyle w:val="TSTableFootnote"/>
      </w:pPr>
    </w:p>
    <w:p w14:paraId="4F5945EE"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2983"/>
        <w:gridCol w:w="7071"/>
      </w:tblGrid>
      <w:tr w:rsidR="00A94830" w14:paraId="5DDA2DD8" w14:textId="77777777" w:rsidTr="00D10F9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2EDC8B56" w14:textId="77777777" w:rsidR="00A94830" w:rsidRDefault="002628B3">
            <w:pPr>
              <w:pStyle w:val="TSTableTitle"/>
            </w:pPr>
            <w:r>
              <w:rPr>
                <w:b/>
              </w:rPr>
              <w:t>REDEMPTION AT MATURITY</w:t>
            </w:r>
          </w:p>
        </w:tc>
      </w:tr>
      <w:tr w:rsidR="00A94830" w14:paraId="276BF6BC" w14:textId="77777777" w:rsidTr="00D10F9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83" w:type="dxa"/>
          </w:tcPr>
          <w:p w14:paraId="161D9BE0" w14:textId="77777777" w:rsidR="00A94830" w:rsidRDefault="002628B3">
            <w:pPr>
              <w:pStyle w:val="TSTableHeading"/>
            </w:pPr>
            <w:r>
              <w:rPr>
                <w:b/>
              </w:rPr>
              <w:t>Final Redemption Amount</w:t>
            </w:r>
          </w:p>
        </w:tc>
        <w:tc>
          <w:tcPr>
            <w:tcW w:w="7071" w:type="dxa"/>
          </w:tcPr>
          <w:p w14:paraId="6408078E"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t>The Final Redemption Amount shall be determined in accordance with the following provisions:</w:t>
            </w:r>
          </w:p>
          <w:p w14:paraId="390C497C" w14:textId="0CF8B0DC" w:rsidR="00A94830" w:rsidRDefault="00356884" w:rsidP="00356884">
            <w:pPr>
              <w:pStyle w:val="TSTableFormula"/>
              <w:ind w:left="0"/>
              <w:cnfStyle w:val="000000100000" w:firstRow="0" w:lastRow="0" w:firstColumn="0" w:lastColumn="0" w:oddVBand="0" w:evenVBand="0" w:oddHBand="1" w:evenHBand="0" w:firstRowFirstColumn="0" w:firstRowLastColumn="0" w:lastRowFirstColumn="0" w:lastRowLastColumn="0"/>
            </w:pPr>
            <w:r>
              <w:t xml:space="preserve">Calculation Amount × </w:t>
            </w:r>
            <w:r w:rsidR="005629EE">
              <w:rPr>
                <w:lang w:val="en-GB"/>
              </w:rPr>
              <w:t>1</w:t>
            </w:r>
            <w:r w:rsidR="008D0592">
              <w:rPr>
                <w:lang w:val="en-GB"/>
              </w:rPr>
              <w:t>34</w:t>
            </w:r>
            <w:r w:rsidR="005629EE">
              <w:rPr>
                <w:lang w:val="en-GB"/>
              </w:rPr>
              <w:t>.</w:t>
            </w:r>
            <w:r w:rsidR="008D0592">
              <w:rPr>
                <w:lang w:val="en-GB"/>
              </w:rPr>
              <w:t>300</w:t>
            </w:r>
            <w:r w:rsidRPr="00281D5F">
              <w:rPr>
                <w:lang w:val="en-GB"/>
              </w:rPr>
              <w:t>%</w:t>
            </w:r>
          </w:p>
        </w:tc>
      </w:tr>
    </w:tbl>
    <w:p w14:paraId="705997E9" w14:textId="77777777" w:rsidR="00A94830" w:rsidRDefault="00A94830">
      <w:pPr>
        <w:spacing w:after="0" w:line="24" w:lineRule="auto"/>
      </w:pPr>
    </w:p>
    <w:p w14:paraId="3391AFC2" w14:textId="77777777" w:rsidR="00FE442D" w:rsidRDefault="00FE442D">
      <w:pPr>
        <w:pStyle w:val="TSTableFootnote"/>
      </w:pPr>
    </w:p>
    <w:p w14:paraId="1CD61F90"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22"/>
        <w:gridCol w:w="7042"/>
      </w:tblGrid>
      <w:tr w:rsidR="00A94830" w14:paraId="6A18774C" w14:textId="77777777" w:rsidTr="003B3CB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5D859E58" w14:textId="77777777" w:rsidR="00A94830" w:rsidRDefault="002628B3">
            <w:pPr>
              <w:pStyle w:val="TSTableTitle"/>
            </w:pPr>
            <w:r>
              <w:rPr>
                <w:b/>
              </w:rPr>
              <w:t>GENERAL INFORMATION</w:t>
            </w:r>
          </w:p>
        </w:tc>
      </w:tr>
      <w:tr w:rsidR="00A94830" w14:paraId="256D76EC"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7A59CF0" w14:textId="77777777" w:rsidR="00A94830" w:rsidRDefault="002628B3">
            <w:pPr>
              <w:pStyle w:val="TSTableHeading"/>
            </w:pPr>
            <w:r>
              <w:rPr>
                <w:b/>
              </w:rPr>
              <w:t>Calculation Agent</w:t>
            </w:r>
          </w:p>
        </w:tc>
        <w:tc>
          <w:tcPr>
            <w:tcW w:w="7042" w:type="dxa"/>
          </w:tcPr>
          <w:p w14:paraId="3782867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Royal Bank of Canada, London Branch</w:t>
            </w:r>
          </w:p>
        </w:tc>
      </w:tr>
      <w:tr w:rsidR="00A94830" w14:paraId="01B4330F"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3780097" w14:textId="77777777" w:rsidR="00A94830" w:rsidRDefault="002628B3">
            <w:pPr>
              <w:pStyle w:val="TSTableHeading"/>
            </w:pPr>
            <w:r>
              <w:rPr>
                <w:b/>
              </w:rPr>
              <w:t>Paying Agent</w:t>
            </w:r>
          </w:p>
        </w:tc>
        <w:tc>
          <w:tcPr>
            <w:tcW w:w="7042" w:type="dxa"/>
          </w:tcPr>
          <w:p w14:paraId="5DBB9E49" w14:textId="2F055C86" w:rsidR="00A94830" w:rsidRDefault="000F7FFA">
            <w:pPr>
              <w:pStyle w:val="TSTableBody"/>
              <w:cnfStyle w:val="000000010000" w:firstRow="0" w:lastRow="0" w:firstColumn="0" w:lastColumn="0" w:oddVBand="0" w:evenVBand="0" w:oddHBand="0" w:evenHBand="1" w:firstRowFirstColumn="0" w:firstRowLastColumn="0" w:lastRowFirstColumn="0" w:lastRowLastColumn="0"/>
            </w:pPr>
            <w:r>
              <w:t xml:space="preserve">The Bank of New York Mellon, London Branch, </w:t>
            </w:r>
            <w:r w:rsidRPr="006962DD">
              <w:t>160 Queen Victoria Street</w:t>
            </w:r>
            <w:r>
              <w:t xml:space="preserve">, London, </w:t>
            </w:r>
            <w:r w:rsidRPr="006962DD">
              <w:t>EC4V 4LA</w:t>
            </w:r>
            <w:r>
              <w:t>, England</w:t>
            </w:r>
          </w:p>
        </w:tc>
      </w:tr>
      <w:tr w:rsidR="00A94830" w14:paraId="03BB2078"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F758F63" w14:textId="77777777" w:rsidR="00A94830" w:rsidRDefault="002628B3">
            <w:pPr>
              <w:pStyle w:val="TSTableHeading"/>
            </w:pPr>
            <w:r>
              <w:rPr>
                <w:b/>
              </w:rPr>
              <w:t>Business Days</w:t>
            </w:r>
          </w:p>
        </w:tc>
        <w:tc>
          <w:tcPr>
            <w:tcW w:w="7042" w:type="dxa"/>
          </w:tcPr>
          <w:p w14:paraId="70F1B509" w14:textId="4FFAA19A" w:rsidR="00A94830" w:rsidRDefault="00481E9D" w:rsidP="00B11C2D">
            <w:pPr>
              <w:pStyle w:val="TSTableBody"/>
              <w:cnfStyle w:val="000000100000" w:firstRow="0" w:lastRow="0" w:firstColumn="0" w:lastColumn="0" w:oddVBand="0" w:evenVBand="0" w:oddHBand="1" w:evenHBand="0" w:firstRowFirstColumn="0" w:firstRowLastColumn="0" w:lastRowFirstColumn="0" w:lastRowLastColumn="0"/>
            </w:pPr>
            <w:r>
              <w:t>London</w:t>
            </w:r>
            <w:r w:rsidR="00B11C2D">
              <w:t xml:space="preserve"> and New York</w:t>
            </w:r>
          </w:p>
        </w:tc>
      </w:tr>
      <w:tr w:rsidR="000F7FFA" w14:paraId="3C0A0DB0"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2362CBD3" w14:textId="68BBE044" w:rsidR="000F7FFA" w:rsidRPr="000F7FFA" w:rsidRDefault="000F7FFA">
            <w:pPr>
              <w:pStyle w:val="TSTableHeading"/>
              <w:rPr>
                <w:b/>
              </w:rPr>
            </w:pPr>
            <w:r w:rsidRPr="000F7FFA">
              <w:rPr>
                <w:b/>
              </w:rPr>
              <w:t>Day Count Fraction</w:t>
            </w:r>
          </w:p>
        </w:tc>
        <w:tc>
          <w:tcPr>
            <w:tcW w:w="7042" w:type="dxa"/>
          </w:tcPr>
          <w:p w14:paraId="203212DB" w14:textId="0A978DE9" w:rsidR="000F7FFA" w:rsidRDefault="000F7FFA" w:rsidP="00B11C2D">
            <w:pPr>
              <w:pStyle w:val="TSTableBody"/>
              <w:cnfStyle w:val="000000010000" w:firstRow="0" w:lastRow="0" w:firstColumn="0" w:lastColumn="0" w:oddVBand="0" w:evenVBand="0" w:oddHBand="0" w:evenHBand="1" w:firstRowFirstColumn="0" w:firstRowLastColumn="0" w:lastRowFirstColumn="0" w:lastRowLastColumn="0"/>
            </w:pPr>
            <w:r>
              <w:t>30/360</w:t>
            </w:r>
          </w:p>
        </w:tc>
      </w:tr>
      <w:tr w:rsidR="00A94830" w14:paraId="095DC214"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CD95B5C" w14:textId="77777777" w:rsidR="00A94830" w:rsidRDefault="002628B3">
            <w:pPr>
              <w:pStyle w:val="TSTableHeading"/>
            </w:pPr>
            <w:r>
              <w:rPr>
                <w:b/>
              </w:rPr>
              <w:t>Business Day Convention</w:t>
            </w:r>
          </w:p>
        </w:tc>
        <w:tc>
          <w:tcPr>
            <w:tcW w:w="7042" w:type="dxa"/>
          </w:tcPr>
          <w:p w14:paraId="7992A200" w14:textId="3C3458BF" w:rsidR="00A94830" w:rsidRDefault="005D4A56">
            <w:pPr>
              <w:pStyle w:val="TSTableBody"/>
              <w:cnfStyle w:val="000000100000" w:firstRow="0" w:lastRow="0" w:firstColumn="0" w:lastColumn="0" w:oddVBand="0" w:evenVBand="0" w:oddHBand="1" w:evenHBand="0" w:firstRowFirstColumn="0" w:firstRowLastColumn="0" w:lastRowFirstColumn="0" w:lastRowLastColumn="0"/>
            </w:pPr>
            <w:r>
              <w:t>Following</w:t>
            </w:r>
            <w:r w:rsidR="00A40E38">
              <w:t>, Unadjusted</w:t>
            </w:r>
          </w:p>
        </w:tc>
      </w:tr>
      <w:tr w:rsidR="00A94830" w14:paraId="68A0A737"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CEB3847" w14:textId="77777777" w:rsidR="00A94830" w:rsidRDefault="002628B3">
            <w:pPr>
              <w:pStyle w:val="TSTableHeading"/>
            </w:pPr>
            <w:r>
              <w:rPr>
                <w:b/>
              </w:rPr>
              <w:t>Form of Notes</w:t>
            </w:r>
          </w:p>
        </w:tc>
        <w:tc>
          <w:tcPr>
            <w:tcW w:w="7042" w:type="dxa"/>
          </w:tcPr>
          <w:p w14:paraId="16DAF2C8" w14:textId="369BBB90" w:rsidR="00A94830" w:rsidRDefault="00481E9D">
            <w:pPr>
              <w:pStyle w:val="TSTableBody"/>
              <w:cnfStyle w:val="000000010000" w:firstRow="0" w:lastRow="0" w:firstColumn="0" w:lastColumn="0" w:oddVBand="0" w:evenVBand="0" w:oddHBand="0" w:evenHBand="1" w:firstRowFirstColumn="0" w:firstRowLastColumn="0" w:lastRowFirstColumn="0" w:lastRowLastColumn="0"/>
            </w:pPr>
            <w:r>
              <w:t>Global Registered Notes</w:t>
            </w:r>
          </w:p>
        </w:tc>
      </w:tr>
      <w:tr w:rsidR="00A616A5" w14:paraId="6B42473F"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0ADCBC" w14:textId="27446031" w:rsidR="00A616A5" w:rsidRDefault="00A616A5">
            <w:pPr>
              <w:pStyle w:val="TSTableHeading"/>
            </w:pPr>
            <w:r w:rsidRPr="00A616A5">
              <w:rPr>
                <w:b/>
              </w:rPr>
              <w:t>Registrar</w:t>
            </w:r>
          </w:p>
        </w:tc>
        <w:tc>
          <w:tcPr>
            <w:tcW w:w="7042" w:type="dxa"/>
          </w:tcPr>
          <w:p w14:paraId="19C30FCF" w14:textId="6A5B002C" w:rsidR="00A616A5" w:rsidRDefault="00A616A5">
            <w:pPr>
              <w:pStyle w:val="TSTableBody"/>
              <w:cnfStyle w:val="000000100000" w:firstRow="0" w:lastRow="0" w:firstColumn="0" w:lastColumn="0" w:oddVBand="0" w:evenVBand="0" w:oddHBand="1" w:evenHBand="0" w:firstRowFirstColumn="0" w:firstRowLastColumn="0" w:lastRowFirstColumn="0" w:lastRowLastColumn="0"/>
            </w:pPr>
            <w:r>
              <w:t>The Bank of New York Mellon SA/NV, Luxembourg Branch</w:t>
            </w:r>
          </w:p>
        </w:tc>
      </w:tr>
      <w:tr w:rsidR="00A94830" w14:paraId="1C982893"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3BCA89" w14:textId="77777777" w:rsidR="00A94830" w:rsidRDefault="002628B3">
            <w:pPr>
              <w:pStyle w:val="TSTableHeading"/>
            </w:pPr>
            <w:r>
              <w:rPr>
                <w:b/>
              </w:rPr>
              <w:t>Settlement</w:t>
            </w:r>
          </w:p>
        </w:tc>
        <w:tc>
          <w:tcPr>
            <w:tcW w:w="7042" w:type="dxa"/>
          </w:tcPr>
          <w:p w14:paraId="6ED5D6A3"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Euroclear or </w:t>
            </w:r>
            <w:proofErr w:type="spellStart"/>
            <w:r>
              <w:t>Clearstream</w:t>
            </w:r>
            <w:proofErr w:type="spellEnd"/>
            <w:r>
              <w:t xml:space="preserve"> on a delivery against payment basis</w:t>
            </w:r>
          </w:p>
        </w:tc>
      </w:tr>
      <w:tr w:rsidR="00A94830" w14:paraId="05352EE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14593E89" w14:textId="77777777" w:rsidR="00A94830" w:rsidRDefault="002628B3">
            <w:pPr>
              <w:pStyle w:val="TSTableHeading"/>
            </w:pPr>
            <w:r>
              <w:rPr>
                <w:b/>
              </w:rPr>
              <w:t>Status</w:t>
            </w:r>
          </w:p>
        </w:tc>
        <w:tc>
          <w:tcPr>
            <w:tcW w:w="7042" w:type="dxa"/>
          </w:tcPr>
          <w:p w14:paraId="3EC0CAE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Direct, unsecured and unsubordinated obligations of the Issuer</w:t>
            </w:r>
          </w:p>
        </w:tc>
      </w:tr>
      <w:tr w:rsidR="00A94830" w14:paraId="6FDEF2B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454263B" w14:textId="77777777" w:rsidR="00A94830" w:rsidRDefault="002628B3">
            <w:pPr>
              <w:pStyle w:val="TSTableHeading"/>
            </w:pPr>
            <w:r>
              <w:rPr>
                <w:b/>
              </w:rPr>
              <w:t>Documentation</w:t>
            </w:r>
          </w:p>
        </w:tc>
        <w:tc>
          <w:tcPr>
            <w:tcW w:w="7042" w:type="dxa"/>
          </w:tcPr>
          <w:p w14:paraId="0B4BA3F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Under the existing </w:t>
            </w:r>
            <w:proofErr w:type="spellStart"/>
            <w:r>
              <w:t>Programme</w:t>
            </w:r>
            <w:proofErr w:type="spellEnd"/>
            <w:r>
              <w:t xml:space="preserve"> for the Issuance of Securities</w:t>
            </w:r>
          </w:p>
        </w:tc>
      </w:tr>
      <w:tr w:rsidR="00A94830" w14:paraId="04CB7B87"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712D742" w14:textId="77777777" w:rsidR="00A94830" w:rsidRDefault="002628B3">
            <w:pPr>
              <w:pStyle w:val="TSTableHeading"/>
            </w:pPr>
            <w:r>
              <w:rPr>
                <w:b/>
              </w:rPr>
              <w:t>Dealer (non-syndicated)</w:t>
            </w:r>
          </w:p>
        </w:tc>
        <w:tc>
          <w:tcPr>
            <w:tcW w:w="7042" w:type="dxa"/>
          </w:tcPr>
          <w:p w14:paraId="08D8EB6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RBC Europe Limited</w:t>
            </w:r>
          </w:p>
        </w:tc>
      </w:tr>
      <w:tr w:rsidR="00EF3007" w14:paraId="1751FA7C"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F74FB4A" w14:textId="77777777" w:rsidR="00EF3007" w:rsidRDefault="00EF3007" w:rsidP="00EF3007">
            <w:pPr>
              <w:pStyle w:val="TSTableHeading"/>
            </w:pPr>
            <w:r>
              <w:rPr>
                <w:b/>
              </w:rPr>
              <w:t>Website</w:t>
            </w:r>
          </w:p>
        </w:tc>
        <w:tc>
          <w:tcPr>
            <w:tcW w:w="7042" w:type="dxa"/>
          </w:tcPr>
          <w:p w14:paraId="25D92AF7" w14:textId="07A78851" w:rsidR="00EF3007" w:rsidRDefault="00481E9D" w:rsidP="00EF3007">
            <w:pPr>
              <w:pStyle w:val="TSTableBody"/>
              <w:cnfStyle w:val="000000010000" w:firstRow="0" w:lastRow="0" w:firstColumn="0" w:lastColumn="0" w:oddVBand="0" w:evenVBand="0" w:oddHBand="0" w:evenHBand="1" w:firstRowFirstColumn="0" w:firstRowLastColumn="0" w:lastRowFirstColumn="0" w:lastRowLastColumn="0"/>
            </w:pPr>
            <w:r>
              <w:t>www.rbccm.com</w:t>
            </w:r>
          </w:p>
        </w:tc>
      </w:tr>
      <w:tr w:rsidR="00EF3007" w14:paraId="4F53635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F0315BA" w14:textId="77777777" w:rsidR="00EF3007" w:rsidRDefault="00EF3007" w:rsidP="00EF3007">
            <w:pPr>
              <w:pStyle w:val="TSTableHeading"/>
            </w:pPr>
            <w:r>
              <w:rPr>
                <w:b/>
              </w:rPr>
              <w:lastRenderedPageBreak/>
              <w:t>TEFRA Rules</w:t>
            </w:r>
          </w:p>
        </w:tc>
        <w:tc>
          <w:tcPr>
            <w:tcW w:w="7042" w:type="dxa"/>
          </w:tcPr>
          <w:p w14:paraId="7038D514" w14:textId="60DD65FB" w:rsidR="00EF3007" w:rsidRDefault="00EF3007" w:rsidP="00EF3007">
            <w:pPr>
              <w:pStyle w:val="TSTableBody"/>
              <w:cnfStyle w:val="000000100000" w:firstRow="0" w:lastRow="0" w:firstColumn="0" w:lastColumn="0" w:oddVBand="0" w:evenVBand="0" w:oddHBand="1" w:evenHBand="0" w:firstRowFirstColumn="0" w:firstRowLastColumn="0" w:lastRowFirstColumn="0" w:lastRowLastColumn="0"/>
            </w:pPr>
            <w:r>
              <w:t>TEFRA rules not applicable</w:t>
            </w:r>
          </w:p>
        </w:tc>
      </w:tr>
      <w:tr w:rsidR="008070D7" w14:paraId="14AE2F8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D15E86D" w14:textId="77777777" w:rsidR="008070D7" w:rsidRDefault="008070D7" w:rsidP="008070D7">
            <w:pPr>
              <w:pStyle w:val="TSTableHeading"/>
            </w:pPr>
            <w:r>
              <w:rPr>
                <w:b/>
              </w:rPr>
              <w:t>Governing Law</w:t>
            </w:r>
          </w:p>
        </w:tc>
        <w:tc>
          <w:tcPr>
            <w:tcW w:w="7042" w:type="dxa"/>
          </w:tcPr>
          <w:p w14:paraId="5C827ACF" w14:textId="64A9E3EE" w:rsidR="008070D7" w:rsidRDefault="008070D7" w:rsidP="008070D7">
            <w:pPr>
              <w:pStyle w:val="TSTableBody"/>
              <w:cnfStyle w:val="000000010000" w:firstRow="0" w:lastRow="0" w:firstColumn="0" w:lastColumn="0" w:oddVBand="0" w:evenVBand="0" w:oddHBand="0" w:evenHBand="1" w:firstRowFirstColumn="0" w:firstRowLastColumn="0" w:lastRowFirstColumn="0" w:lastRowLastColumn="0"/>
            </w:pPr>
            <w:r>
              <w:rPr>
                <w:b/>
              </w:rPr>
              <w:t>Province of Ontario and the laws of Canada applicable therein</w:t>
            </w:r>
          </w:p>
        </w:tc>
      </w:tr>
      <w:tr w:rsidR="008070D7" w14:paraId="752BBCD0"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962A0E3" w14:textId="77777777" w:rsidR="008070D7" w:rsidRDefault="008070D7" w:rsidP="008070D7">
            <w:pPr>
              <w:pStyle w:val="TSTableHeading"/>
            </w:pPr>
            <w:r>
              <w:rPr>
                <w:b/>
              </w:rPr>
              <w:t>Jurisdiction</w:t>
            </w:r>
          </w:p>
        </w:tc>
        <w:tc>
          <w:tcPr>
            <w:tcW w:w="7042" w:type="dxa"/>
          </w:tcPr>
          <w:p w14:paraId="57C329E9" w14:textId="77777777" w:rsidR="008070D7" w:rsidRDefault="008070D7" w:rsidP="008070D7">
            <w:pPr>
              <w:pStyle w:val="TSTableBody"/>
              <w:cnfStyle w:val="000000100000" w:firstRow="0" w:lastRow="0" w:firstColumn="0" w:lastColumn="0" w:oddVBand="0" w:evenVBand="0" w:oddHBand="1" w:evenHBand="0" w:firstRowFirstColumn="0" w:firstRowLastColumn="0" w:lastRowFirstColumn="0" w:lastRowLastColumn="0"/>
            </w:pPr>
            <w:r>
              <w:rPr>
                <w:b/>
              </w:rPr>
              <w:t>Courts of Ontario and Canada</w:t>
            </w:r>
          </w:p>
        </w:tc>
      </w:tr>
    </w:tbl>
    <w:p w14:paraId="7041DB94" w14:textId="2462999A" w:rsidR="008070D7" w:rsidRDefault="008070D7" w:rsidP="008070D7">
      <w:pPr>
        <w:pStyle w:val="TSHeading"/>
        <w:numPr>
          <w:ilvl w:val="0"/>
          <w:numId w:val="0"/>
        </w:numPr>
      </w:pPr>
    </w:p>
    <w:p w14:paraId="108D3F57" w14:textId="77777777" w:rsidR="00A94830" w:rsidRDefault="00CC5C5A">
      <w:pPr>
        <w:pStyle w:val="TSHeading"/>
      </w:pPr>
      <w:r>
        <w:t>SIGNIFICANT RISKS FOR INVESTORS</w:t>
      </w:r>
    </w:p>
    <w:p w14:paraId="15C39E23"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95"/>
        <w:gridCol w:w="7069"/>
      </w:tblGrid>
      <w:tr w:rsidR="00A94830" w14:paraId="7F20FD34" w14:textId="77777777" w:rsidTr="00281D5F">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0C965AAB" w14:textId="77777777" w:rsidR="00A94830" w:rsidRDefault="002628B3">
            <w:pPr>
              <w:pStyle w:val="TSTableTitle"/>
            </w:pPr>
            <w:r>
              <w:rPr>
                <w:b/>
              </w:rPr>
              <w:t>RISKS</w:t>
            </w:r>
          </w:p>
        </w:tc>
      </w:tr>
      <w:tr w:rsidR="00A94830" w14:paraId="75EF889E"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2F9E9EBD" w14:textId="77777777" w:rsidR="00A94830" w:rsidRDefault="002628B3">
            <w:pPr>
              <w:pStyle w:val="TSTableHeading"/>
            </w:pPr>
            <w:r>
              <w:rPr>
                <w:b/>
              </w:rPr>
              <w:t>Product Risk</w:t>
            </w:r>
          </w:p>
        </w:tc>
        <w:tc>
          <w:tcPr>
            <w:tcW w:w="7069" w:type="dxa"/>
          </w:tcPr>
          <w:p w14:paraId="733C936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These Securities are capital </w:t>
            </w:r>
            <w:r w:rsidR="00891F66">
              <w:t>protected</w:t>
            </w:r>
            <w:r>
              <w:t>. These Securities are not guaranteed against losses by the Issuer, Dealer, their affiliates, the UK Financial Services Compensation Scheme or any equivalent European deposit guarantee scheme.</w:t>
            </w:r>
          </w:p>
        </w:tc>
      </w:tr>
      <w:tr w:rsidR="00A94830" w14:paraId="4FD33547"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1590A37" w14:textId="77777777" w:rsidR="00A94830" w:rsidRDefault="002628B3">
            <w:pPr>
              <w:pStyle w:val="TSTableHeading"/>
            </w:pPr>
            <w:r>
              <w:rPr>
                <w:b/>
              </w:rPr>
              <w:t>U.S. Withholding Tax on Dividend Equivalent Payments</w:t>
            </w:r>
          </w:p>
        </w:tc>
        <w:tc>
          <w:tcPr>
            <w:tcW w:w="7069" w:type="dxa"/>
          </w:tcPr>
          <w:p w14:paraId="4FE99A59"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The United States Internal Revenue Code of 1986, as amended, treats a “dividend equivalent” payment as a dividend from sources within the United States. Unless reduced by an applicable tax treaty with the United States, such payments generally would be subject to U.S. withholding tax of 30% if paid to a non-U.S. holder. A non-U.S. holder is a beneficial owner of a Note that, for U.S. federal income tax purposes, is a non-resident alien individual, a foreign corporation, or a foreign estate or trust. Under recently finalized U.S. Treasury Department regulations, payments on certain equity-linked instruments (including deemed payments) that are contingent upon or determined by Reference to actual or estimated U.S. source dividends, (regardless of whether such contingency or determination is explicitly stated or implicitly </w:t>
            </w:r>
            <w:proofErr w:type="gramStart"/>
            <w:r>
              <w:t>taken into account</w:t>
            </w:r>
            <w:proofErr w:type="gramEnd"/>
            <w:r>
              <w:t xml:space="preserve"> in computing one or more of the terms of such instruments) may be treated as dividend equivalents subject to withholding tax. Withholding tax will apply to dividend equivalent payments on Notes issued or materially modified on or after January 1, 2017. If any payments are treated as dividend equivalent subject to withholding, we (or the applicable paying agent) would be required to withhold taxes and would not be required to pay any additional amounts with respect to amounts so withheld. Prospective investors of the Notes should consult their own tax advisers regarding the application of the U.S. rules for withholding on dividend equivalents.</w:t>
            </w:r>
          </w:p>
        </w:tc>
      </w:tr>
      <w:tr w:rsidR="00A94830" w14:paraId="435C7383"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74AFCE24" w14:textId="77777777" w:rsidR="00A94830" w:rsidRDefault="002628B3">
            <w:pPr>
              <w:pStyle w:val="TSTableHeading"/>
            </w:pPr>
            <w:r>
              <w:rPr>
                <w:b/>
              </w:rPr>
              <w:t>Issuer Risk</w:t>
            </w:r>
          </w:p>
        </w:tc>
        <w:tc>
          <w:tcPr>
            <w:tcW w:w="7069" w:type="dxa"/>
          </w:tcPr>
          <w:p w14:paraId="178423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Investors bear the issuer risk. The Security’s value and the payment of any income or bonus amount (where one is payable) are dependent not only on the development of the Reference Item, but also on the creditworthiness of the Issuer, which may vary over the term of the Security.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Security, or where factors other than the Issuer’s credit quality determine the level of principal and interest payments.</w:t>
            </w:r>
          </w:p>
        </w:tc>
      </w:tr>
      <w:tr w:rsidR="00A94830" w14:paraId="3626D2D1"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4CC83E9B" w14:textId="77777777" w:rsidR="00A94830" w:rsidRDefault="002628B3">
            <w:pPr>
              <w:pStyle w:val="TSTableHeading"/>
            </w:pPr>
            <w:r>
              <w:rPr>
                <w:b/>
              </w:rPr>
              <w:t>Reference Item</w:t>
            </w:r>
          </w:p>
        </w:tc>
        <w:tc>
          <w:tcPr>
            <w:tcW w:w="7069" w:type="dxa"/>
          </w:tcPr>
          <w:p w14:paraId="3916AE3B" w14:textId="77777777" w:rsidR="00A94830" w:rsidRDefault="00656B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2BEEE89D"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A727D69" w14:textId="77777777" w:rsidR="00A94830" w:rsidRDefault="002628B3">
            <w:pPr>
              <w:pStyle w:val="TSTableHeading"/>
            </w:pPr>
            <w:r>
              <w:rPr>
                <w:b/>
              </w:rPr>
              <w:t>FX Risk</w:t>
            </w:r>
          </w:p>
        </w:tc>
        <w:tc>
          <w:tcPr>
            <w:tcW w:w="7069" w:type="dxa"/>
          </w:tcPr>
          <w:p w14:paraId="6541E4A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N/A</w:t>
            </w:r>
          </w:p>
        </w:tc>
      </w:tr>
      <w:tr w:rsidR="00A94830" w14:paraId="3FC593EA"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75E9D1D" w14:textId="77777777" w:rsidR="00A94830" w:rsidRDefault="002628B3">
            <w:pPr>
              <w:pStyle w:val="TSTableHeading"/>
            </w:pPr>
            <w:r>
              <w:rPr>
                <w:b/>
              </w:rPr>
              <w:t>Physical Delivery</w:t>
            </w:r>
          </w:p>
        </w:tc>
        <w:tc>
          <w:tcPr>
            <w:tcW w:w="7069" w:type="dxa"/>
          </w:tcPr>
          <w:p w14:paraId="53BE1F5A" w14:textId="77777777" w:rsidR="00A94830" w:rsidRDefault="00764F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758BC411"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9C85825" w14:textId="77777777" w:rsidR="00A94830" w:rsidRDefault="002628B3">
            <w:pPr>
              <w:pStyle w:val="TSTableHeading"/>
            </w:pPr>
            <w:r>
              <w:rPr>
                <w:b/>
              </w:rPr>
              <w:t>Liquidity Risk</w:t>
            </w:r>
          </w:p>
        </w:tc>
        <w:tc>
          <w:tcPr>
            <w:tcW w:w="7069" w:type="dxa"/>
          </w:tcPr>
          <w:p w14:paraId="35EA38A4"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 investor should be prepared to hold this Security until maturity should it not be called or terminated early, if such option exists, by the Issuer. The Dealer will, however, use its reasonable </w:t>
            </w:r>
            <w:proofErr w:type="spellStart"/>
            <w:r>
              <w:t>endeavours</w:t>
            </w:r>
            <w:proofErr w:type="spellEnd"/>
            <w:r>
              <w:t xml:space="preserve"> to provide liquidity to the Security (either directly or through an affiliate) but is not obliged to do so and may stop providing liquidity at any time without notice. This means an investor should not rely on having the ability to redeem the Security at a particular time or for a certain price. If the Security is redeemed early, the investor may get back less than the stated redemption amount. The Issue Price is not a direct reflection of the market value of the Security. The level at which the investor purchases the Security includes hedging costs and profits that the Dealer or its affiliates expect to incur or realize. The Issue Price may also include selling commissions paid by the Dealer to distributors and/or intermediaries. Any selling commissions, costs and profits will reduce the secondary market level, if any secondary </w:t>
            </w:r>
            <w:r>
              <w:lastRenderedPageBreak/>
              <w:t>market develops, for the Security. As a result, the investor may experience an immediate and substantial decline in the value of the Securities on the Issue Date.</w:t>
            </w:r>
          </w:p>
        </w:tc>
      </w:tr>
      <w:tr w:rsidR="00A94830" w14:paraId="476F6390"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DEDADE0" w14:textId="77777777" w:rsidR="00A94830" w:rsidRDefault="002628B3">
            <w:pPr>
              <w:pStyle w:val="TSTableHeading"/>
            </w:pPr>
            <w:r>
              <w:rPr>
                <w:b/>
              </w:rPr>
              <w:lastRenderedPageBreak/>
              <w:t>Suitability</w:t>
            </w:r>
          </w:p>
        </w:tc>
        <w:tc>
          <w:tcPr>
            <w:tcW w:w="7069" w:type="dxa"/>
          </w:tcPr>
          <w:p w14:paraId="72341AD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is provided for information purposes only and should not be used as the sole or primary basis of any investment decision. Transactions of a type described herein, may involve a high degree of risk and may not be suitable for all investors. Transactions in the Securities should not be undertaken unless the prospective investor understands and is capable of bearing </w:t>
            </w:r>
            <w:proofErr w:type="gramStart"/>
            <w:r>
              <w:t>all of</w:t>
            </w:r>
            <w:proofErr w:type="gramEnd"/>
            <w:r>
              <w:t xml:space="preserve"> the risks associated with an investment in the Securities. Before </w:t>
            </w:r>
            <w:proofErr w:type="gramStart"/>
            <w:r>
              <w:t>entering into</w:t>
            </w:r>
            <w:proofErr w:type="gramEnd"/>
            <w:r>
              <w:t xml:space="preserve"> any transaction, potential investors should take steps to ensure they understand the transaction and have assessed the appropriateness of the transaction in light of their own objectives and circumstances, including the possible risks, benefits and also the tax implications of entering into this proposed transaction. The information in this </w:t>
            </w:r>
            <w:proofErr w:type="spellStart"/>
            <w:r>
              <w:t>termsheet</w:t>
            </w:r>
            <w:proofErr w:type="spellEnd"/>
            <w:r>
              <w:t xml:space="preserve"> does not constitute financial, tax or legal advice and should not be used as a substitute for seeking professional advice. The Dealer is acting as an arm’s length counterparty and not as an advisor or fiduciary. It is strongly recommended that potential investors consult their own professional advisers.</w:t>
            </w:r>
          </w:p>
          <w:p w14:paraId="53F70B0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Institutions referencing this </w:t>
            </w:r>
            <w:proofErr w:type="spellStart"/>
            <w:r>
              <w:t>termsheet</w:t>
            </w:r>
            <w:proofErr w:type="spellEnd"/>
            <w:r>
              <w:t xml:space="preserve"> or extracting information from this </w:t>
            </w:r>
            <w:proofErr w:type="spellStart"/>
            <w:r>
              <w:t>termsheet</w:t>
            </w:r>
            <w:proofErr w:type="spellEnd"/>
            <w:r>
              <w:t xml:space="preserve"> to provide to their clients should ensure that the information satisfies their local jurisdictional requirements and applicable securities laws for conducting business, including any applicable suitability and appropriateness assessment. Investments of a type described herein should only be sold to investors that have the necessary knowledge and experience to fully understand the related risks and are able to bear such risks.</w:t>
            </w:r>
          </w:p>
        </w:tc>
      </w:tr>
      <w:tr w:rsidR="00A94830" w14:paraId="3851DBF9"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74B587E" w14:textId="77777777" w:rsidR="00A94830" w:rsidRDefault="002628B3">
            <w:pPr>
              <w:pStyle w:val="TSTableHeading"/>
            </w:pPr>
            <w:r>
              <w:rPr>
                <w:b/>
              </w:rPr>
              <w:t>Conflicts of Interest Disclosure</w:t>
            </w:r>
          </w:p>
        </w:tc>
        <w:tc>
          <w:tcPr>
            <w:tcW w:w="7069" w:type="dxa"/>
          </w:tcPr>
          <w:p w14:paraId="408E90B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w:t>
            </w:r>
            <w:proofErr w:type="gramStart"/>
            <w:r>
              <w:t>enter into</w:t>
            </w:r>
            <w:proofErr w:type="gramEnd"/>
            <w:r>
              <w:t xml:space="preserve"> positions in connection with the issuance. The Issuer, Dealer, or their affiliates may undertake hedging activity including trading in the Reference Item(s) or instruments related to the Reference Item(s), which may have an adverse impact on the value of the Securities. The Issuer, Dealer, or their affiliates may from time-to-time possess or have access to information concerning the Reference Item(s) and are under no obligation to disclose this information to investors. Any conflicts of interest will be managed in accordance with the Bank Group’s established policies and procedures.</w:t>
            </w:r>
          </w:p>
        </w:tc>
      </w:tr>
      <w:tr w:rsidR="00D46B31" w14:paraId="287112EC"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770BB18" w14:textId="77777777" w:rsidR="00D46B31" w:rsidRDefault="00D46B31" w:rsidP="00D46B31">
            <w:pPr>
              <w:pStyle w:val="TSTableHeading"/>
            </w:pPr>
            <w:r>
              <w:rPr>
                <w:b/>
              </w:rPr>
              <w:t>Early Redemption</w:t>
            </w:r>
          </w:p>
        </w:tc>
        <w:tc>
          <w:tcPr>
            <w:tcW w:w="7069" w:type="dxa"/>
          </w:tcPr>
          <w:p w14:paraId="7AC6672D" w14:textId="66E2E19A"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The investor should be aware that the Securities have an Issuer Call feature. In case of an Issuer Call event, the Securities will be redeemed by the Issuer prior to the Maturity Date and the early redemption amount will be as described under “EARLY REDEMPTION INFORMATION”. </w:t>
            </w:r>
            <w:r w:rsidRPr="00E04A5A">
              <w:t xml:space="preserve">If the </w:t>
            </w:r>
            <w:r>
              <w:t>Securities</w:t>
            </w:r>
            <w:r w:rsidRPr="00E04A5A">
              <w:t xml:space="preserve"> are redeemed prior to </w:t>
            </w:r>
            <w:r>
              <w:t>the</w:t>
            </w:r>
            <w:r w:rsidRPr="00E04A5A">
              <w:t xml:space="preserve"> </w:t>
            </w:r>
            <w:r>
              <w:t>M</w:t>
            </w:r>
            <w:r w:rsidRPr="00E04A5A">
              <w:t xml:space="preserve">aturity </w:t>
            </w:r>
            <w:r>
              <w:t>D</w:t>
            </w:r>
            <w:r w:rsidRPr="00E04A5A">
              <w:t xml:space="preserve">ate, </w:t>
            </w:r>
            <w:r>
              <w:t>the investor</w:t>
            </w:r>
            <w:r w:rsidRPr="00E04A5A">
              <w:t xml:space="preserve"> may have to re-invest the proceeds in a lower rate </w:t>
            </w:r>
            <w:proofErr w:type="gramStart"/>
            <w:r w:rsidRPr="00E04A5A">
              <w:t>environment, and</w:t>
            </w:r>
            <w:proofErr w:type="gramEnd"/>
            <w:r w:rsidRPr="00E04A5A">
              <w:t xml:space="preserve"> will not receive any further payments on the </w:t>
            </w:r>
            <w:r>
              <w:t>Securities</w:t>
            </w:r>
            <w:r w:rsidRPr="00E04A5A">
              <w:t>.</w:t>
            </w:r>
          </w:p>
        </w:tc>
      </w:tr>
      <w:tr w:rsidR="00D46B31" w14:paraId="6E500002"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4EFBF07" w14:textId="77777777" w:rsidR="00D46B31" w:rsidRDefault="00D46B31" w:rsidP="00D46B31">
            <w:pPr>
              <w:pStyle w:val="TSTableHeading"/>
            </w:pPr>
            <w:r>
              <w:rPr>
                <w:b/>
              </w:rPr>
              <w:t>Tax Risk</w:t>
            </w:r>
          </w:p>
        </w:tc>
        <w:tc>
          <w:tcPr>
            <w:tcW w:w="7069" w:type="dxa"/>
          </w:tcPr>
          <w:p w14:paraId="4C803A79"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An investment in the Securities may give rise to tax consequences. Any tax liability is dependent on the taxpayer’s personal circumstances. The basis and level of any taxes may change during the term of the Security.</w:t>
            </w:r>
          </w:p>
        </w:tc>
      </w:tr>
      <w:tr w:rsidR="00D46B31" w14:paraId="18D4FB05"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E1D3495" w14:textId="77777777" w:rsidR="00D46B31" w:rsidRDefault="00D46B31" w:rsidP="00D46B31">
            <w:pPr>
              <w:pStyle w:val="TSTableHeading"/>
            </w:pPr>
            <w:r>
              <w:rPr>
                <w:b/>
              </w:rPr>
              <w:t>On-sale of Securities</w:t>
            </w:r>
          </w:p>
        </w:tc>
        <w:tc>
          <w:tcPr>
            <w:tcW w:w="7069" w:type="dxa"/>
          </w:tcPr>
          <w:p w14:paraId="1176E251" w14:textId="77777777"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It is strongly recommended that investors seek independent tax advice prior to an investment in the Securities. The Issuer, Dealer and members of the Bank Group do not provide tax advice. To the extent that any general information is provided with regard to tax, this is for information purposes only and should neither be construed as tax advice nor should it be relied </w:t>
            </w:r>
            <w:proofErr w:type="gramStart"/>
            <w:r>
              <w:t>on, or</w:t>
            </w:r>
            <w:proofErr w:type="gramEnd"/>
            <w:r>
              <w:t xml:space="preserve"> treated as a substitute for seeking independent tax advice.</w:t>
            </w:r>
          </w:p>
        </w:tc>
      </w:tr>
      <w:tr w:rsidR="00D46B31" w14:paraId="4E2DB37C"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DAEAE22" w14:textId="77777777" w:rsidR="00D46B31" w:rsidRDefault="00D46B31" w:rsidP="00D46B31">
            <w:pPr>
              <w:pStyle w:val="TSTableHeading"/>
            </w:pPr>
            <w:r>
              <w:rPr>
                <w:b/>
              </w:rPr>
              <w:t>Fees</w:t>
            </w:r>
          </w:p>
        </w:tc>
        <w:tc>
          <w:tcPr>
            <w:tcW w:w="7069" w:type="dxa"/>
          </w:tcPr>
          <w:p w14:paraId="715B147B"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 xml:space="preserve">The payment of any fee or commission by the Dealer is subject to the relevant regulatory requirements, including those applicable in the jurisdiction(s) that the Dealer and distributor operate in, as well as the jurisdiction(s) into which the Securities are distributed, if different. The Issue Price may include a fee or commission payable by the Dealer to a distributor or third party, such a fee or commission will be determined </w:t>
            </w:r>
            <w:r>
              <w:lastRenderedPageBreak/>
              <w:t xml:space="preserve">by </w:t>
            </w:r>
            <w:proofErr w:type="gramStart"/>
            <w:r>
              <w:t>a number of</w:t>
            </w:r>
            <w:proofErr w:type="gramEnd"/>
            <w:r>
              <w:t xml:space="preserve"> factors including but not limited to the maturity of the Security, hedging costs and legal fees. Any fee or commission received by the </w:t>
            </w:r>
            <w:proofErr w:type="gramStart"/>
            <w:r>
              <w:t>distributor</w:t>
            </w:r>
            <w:proofErr w:type="gramEnd"/>
            <w:r>
              <w:t xml:space="preserve"> or third party may be in addition to the fee normally charged by that party in connection with an investment in the Security. Further details in respect of the fee or commission are available upon request.</w:t>
            </w:r>
          </w:p>
        </w:tc>
      </w:tr>
    </w:tbl>
    <w:p w14:paraId="4A4B7F2D" w14:textId="77777777" w:rsidR="00A94830" w:rsidRDefault="00A94830"/>
    <w:p w14:paraId="4D5AC71A" w14:textId="77777777" w:rsidR="00A94830" w:rsidRDefault="002628B3">
      <w:pPr>
        <w:pStyle w:val="TSHeading"/>
      </w:pPr>
      <w:r>
        <w:t>OTHER INFORMATION</w:t>
      </w:r>
    </w:p>
    <w:p w14:paraId="2E94FD8C"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80"/>
        <w:gridCol w:w="7084"/>
      </w:tblGrid>
      <w:tr w:rsidR="00A94830" w14:paraId="502633C7" w14:textId="77777777" w:rsidTr="00A9483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335" w:type="dxa"/>
            <w:gridSpan w:val="2"/>
          </w:tcPr>
          <w:p w14:paraId="24CFBA2E" w14:textId="77777777" w:rsidR="00A94830" w:rsidRDefault="002628B3">
            <w:pPr>
              <w:pStyle w:val="TSTableTitle"/>
            </w:pPr>
            <w:r>
              <w:rPr>
                <w:b/>
              </w:rPr>
              <w:t>SALES RESTRICTION</w:t>
            </w:r>
          </w:p>
        </w:tc>
      </w:tr>
      <w:tr w:rsidR="00A94830" w14:paraId="18E1BF1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649D348E" w14:textId="77777777" w:rsidR="00A94830" w:rsidRDefault="002628B3">
            <w:pPr>
              <w:pStyle w:val="TSTableHeading"/>
            </w:pPr>
            <w:r>
              <w:rPr>
                <w:b/>
              </w:rPr>
              <w:t>EEA Retail Investor Offering Information</w:t>
            </w:r>
          </w:p>
        </w:tc>
        <w:tc>
          <w:tcPr>
            <w:tcW w:w="8165" w:type="dxa"/>
          </w:tcPr>
          <w:p w14:paraId="7DF60E90" w14:textId="77777777" w:rsidR="00C61D1C"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 xml:space="preserve">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w:t>
            </w:r>
            <w:proofErr w:type="spellStart"/>
            <w:r>
              <w:t>termsheet</w:t>
            </w:r>
            <w:proofErr w:type="spellEnd"/>
            <w:r>
              <w:t xml:space="preserve"> is authorized by any person to act in a way which would result in an offer to it </w:t>
            </w:r>
            <w:proofErr w:type="gramStart"/>
            <w:r>
              <w:t>being considered to be</w:t>
            </w:r>
            <w:proofErr w:type="gramEnd"/>
            <w:r>
              <w:t xml:space="preserve"> a placement through an intermediary for the purposes of the Prospectus Regulation.</w:t>
            </w:r>
          </w:p>
          <w:p w14:paraId="6399A87D" w14:textId="77777777" w:rsidR="00A94830"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The Securities are not intended to be offered, sold or otherwise made available to and should not be offered, sold or otherwise made available to any retail investor in the EEA without an up-to-date PRIIPS KID being in place with the prior written consent of RBC Europe Limited and provided in accordance with the PRIIPS Regulation. For these purposes, a retail investor means a person who is one (or more) of: (i)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If the aforementioned consent of RBC Europe Limited has not been received then no key information document required by Regulation (EU) No 1286/2014 (as amended, the “PRIIPs Regulation”) for offering or selling the Notes or otherwise making them available to retail investors in the EEA has been prepared and therefore offering or selling the Notes or otherwise making them available to any retail investor in the EEA may be unlawful under the PRIIPs Regulation.</w:t>
            </w:r>
          </w:p>
        </w:tc>
      </w:tr>
      <w:tr w:rsidR="00A94830" w14:paraId="03ECE981"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76DB778" w14:textId="77777777" w:rsidR="00A94830" w:rsidRDefault="002628B3">
            <w:pPr>
              <w:pStyle w:val="TSTableHeading"/>
            </w:pPr>
            <w:r>
              <w:rPr>
                <w:b/>
              </w:rPr>
              <w:t>UK Retail Investor Offering Information</w:t>
            </w:r>
          </w:p>
        </w:tc>
        <w:tc>
          <w:tcPr>
            <w:tcW w:w="8165" w:type="dxa"/>
          </w:tcPr>
          <w:p w14:paraId="37243AB4"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The Securities are not intended to be offered, sold or otherwise made available to and should not be offered, sold or otherwise made available to any retail investor in the United Kingdom (“UK”) without an up-to-date UK PRIIPS KID being in place with the prior written consent of RBC Europe Limited and provided in accordance with the UK PRIIPS Regulation. For these purposes, a retail investor means a person who is one (or more) of: (i)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qualify as a professional client, as defined in point (8) of Article 2(1) of Regulation (EU) No 600/2014 as it forms part of domestic law by virtue of the EUWA; or (iii) as defined in Article 2 of Regulation (EU) 2017/1129 as it forms part of domestic law by virtue of the EUWA. If the aforementioned consent of RBC Europe Limited has not been received then no key information document (“KID”) required by Regulation (EU) No 1286/2014 as it forms part of domestic law by virtue of the EUWA (the “UK PRIIPs Regulation”) for offering or selling the Securities or otherwise making them available to retail investors in the UK has been prepared and therefore offering or selling the </w:t>
            </w:r>
            <w:r>
              <w:lastRenderedPageBreak/>
              <w:t>Securities or otherwise making them available to any retail investor in the UK may be unlawful under the UK PRIIPs Regulation.</w:t>
            </w:r>
          </w:p>
        </w:tc>
      </w:tr>
      <w:tr w:rsidR="00A94830" w14:paraId="5FE2664B"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2C6B2BC" w14:textId="77777777" w:rsidR="00A94830" w:rsidRDefault="002628B3">
            <w:pPr>
              <w:pStyle w:val="TSTableHeading"/>
            </w:pPr>
            <w:r>
              <w:rPr>
                <w:b/>
              </w:rPr>
              <w:lastRenderedPageBreak/>
              <w:t>Additional UK Offering Information</w:t>
            </w:r>
          </w:p>
        </w:tc>
        <w:tc>
          <w:tcPr>
            <w:tcW w:w="8165" w:type="dxa"/>
          </w:tcPr>
          <w:p w14:paraId="0BC3AAF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Each Dealer has represented, warranted and agreed, and each further Dealer appointed under the </w:t>
            </w:r>
            <w:proofErr w:type="spellStart"/>
            <w:r>
              <w:t>Programme</w:t>
            </w:r>
            <w:proofErr w:type="spellEnd"/>
            <w:r>
              <w:t xml:space="preserve"> will be required to represent and agree, that:</w:t>
            </w:r>
          </w:p>
          <w:p w14:paraId="6C82A94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(a)</w:t>
            </w:r>
            <w:r>
              <w:tab/>
              <w:t>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21(1) of the FSMA would not, if the Issuer was not an authorized person, apply to the Issuer; and</w:t>
            </w:r>
          </w:p>
          <w:p w14:paraId="6BA624E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(b)</w:t>
            </w:r>
            <w:r>
              <w:tab/>
              <w:t>it has complied and will comply with all applicable provisions of the FSMA with respect to anything done by it in relation to any Securities in, from or otherwise involving the United Kingdom.</w:t>
            </w:r>
          </w:p>
        </w:tc>
      </w:tr>
      <w:tr w:rsidR="00A94830" w14:paraId="78E94AE5"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0B7B23E4" w14:textId="77777777" w:rsidR="00A94830" w:rsidRDefault="002628B3">
            <w:pPr>
              <w:pStyle w:val="TSTableHeading"/>
            </w:pPr>
            <w:r>
              <w:rPr>
                <w:b/>
              </w:rPr>
              <w:t>US Offering Information</w:t>
            </w:r>
          </w:p>
        </w:tc>
        <w:tc>
          <w:tcPr>
            <w:tcW w:w="8165" w:type="dxa"/>
          </w:tcPr>
          <w:p w14:paraId="0E1C90BD"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is not an offer of securities for sale in the United States. The Notes have not been and will not be registered under the US Securities Act of 1933, as amended (the “Securities Act”) or any state securities laws, and may not at any time be offered, pledged, sold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A94830" w14:paraId="322943D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8EB21CA" w14:textId="77777777" w:rsidR="00A94830" w:rsidRDefault="002628B3">
            <w:pPr>
              <w:pStyle w:val="TSTableHeading"/>
            </w:pPr>
            <w:r>
              <w:rPr>
                <w:b/>
              </w:rPr>
              <w:t>Swiss Offering Information</w:t>
            </w:r>
          </w:p>
        </w:tc>
        <w:tc>
          <w:tcPr>
            <w:tcW w:w="8165" w:type="dxa"/>
          </w:tcPr>
          <w:p w14:paraId="5F7BF9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Each offeror acknowledges and agrees that, subject to the applicable transitional provisions under the </w:t>
            </w:r>
            <w:proofErr w:type="spellStart"/>
            <w:r>
              <w:t>FinSA</w:t>
            </w:r>
            <w:proofErr w:type="spellEnd"/>
            <w:r>
              <w:t xml:space="preserve"> and the implementing </w:t>
            </w:r>
            <w:proofErr w:type="spellStart"/>
            <w:r>
              <w:t>FinSO</w:t>
            </w:r>
            <w:proofErr w:type="spellEnd"/>
            <w:r>
              <w:t xml:space="preserve">, the Notes have not been offered and will not be offered, directly or indirectly, to the public in Switzerland, and have not distributed or caused to be distributed and will not distribute or cause to be distributed to the public in Switzerland, the Base Prospectus, this </w:t>
            </w:r>
            <w:proofErr w:type="spellStart"/>
            <w:r>
              <w:t>termsheet</w:t>
            </w:r>
            <w:proofErr w:type="spellEnd"/>
            <w:r>
              <w:t xml:space="preserve"> or any other offering material relating to the Notes, other than pursuant to an exemption under Article 36(1) </w:t>
            </w:r>
            <w:proofErr w:type="spellStart"/>
            <w:r>
              <w:t>FinSA</w:t>
            </w:r>
            <w:proofErr w:type="spellEnd"/>
            <w:r>
              <w:t xml:space="preserve"> or where such offer or distribution does not qualify as a public offer in Switzerland. For these purposes, “public offer” refers to the respective definitions in Article 3(g) and (h) </w:t>
            </w:r>
            <w:proofErr w:type="spellStart"/>
            <w:r>
              <w:t>FinSA</w:t>
            </w:r>
            <w:proofErr w:type="spellEnd"/>
            <w:r>
              <w:t xml:space="preserve"> and as further detailed in </w:t>
            </w:r>
            <w:proofErr w:type="spellStart"/>
            <w:r>
              <w:t>FinSO</w:t>
            </w:r>
            <w:proofErr w:type="spellEnd"/>
            <w:r>
              <w:t>.</w:t>
            </w:r>
          </w:p>
        </w:tc>
      </w:tr>
      <w:tr w:rsidR="00A94830" w14:paraId="169F4A7F"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41D84EB" w14:textId="77777777" w:rsidR="00A94830" w:rsidRDefault="002628B3">
            <w:pPr>
              <w:pStyle w:val="TSTableHeading"/>
            </w:pPr>
            <w:r>
              <w:rPr>
                <w:b/>
              </w:rPr>
              <w:t>Canadian Offering Information</w:t>
            </w:r>
          </w:p>
        </w:tc>
        <w:tc>
          <w:tcPr>
            <w:tcW w:w="8165" w:type="dxa"/>
          </w:tcPr>
          <w:p w14:paraId="2B813371"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w:t>
            </w:r>
            <w:proofErr w:type="spellStart"/>
            <w:r>
              <w:t>termsheet</w:t>
            </w:r>
            <w:proofErr w:type="spellEnd"/>
            <w:r>
              <w:t>, or any other offering material in connection with any offering of the securities, in Canada other than in compliance with applicable securities laws.</w:t>
            </w:r>
          </w:p>
        </w:tc>
      </w:tr>
      <w:tr w:rsidR="00A94830" w14:paraId="69355A97"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7F9B8CF" w14:textId="77777777" w:rsidR="00A94830" w:rsidRDefault="002628B3">
            <w:pPr>
              <w:pStyle w:val="TSTableHeading"/>
            </w:pPr>
            <w:r>
              <w:rPr>
                <w:b/>
              </w:rPr>
              <w:t>Hong Kong Offering Information</w:t>
            </w:r>
          </w:p>
        </w:tc>
        <w:tc>
          <w:tcPr>
            <w:tcW w:w="8165" w:type="dxa"/>
          </w:tcPr>
          <w:p w14:paraId="4233D2C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rPr>
                <w:b/>
              </w:rPr>
              <w:t>WARNING</w:t>
            </w:r>
          </w:p>
          <w:p w14:paraId="59295C8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 contents of this </w:t>
            </w:r>
            <w:proofErr w:type="spellStart"/>
            <w:r>
              <w:t>termsheet</w:t>
            </w:r>
            <w:proofErr w:type="spellEnd"/>
            <w:r>
              <w:t xml:space="preserve"> have not been reviewed by any regulatory authority in Hong Kong or any other jurisdiction. You are advised to exercise caution in relation to the offer. If you are in any doubt about any of the contents of this </w:t>
            </w:r>
            <w:proofErr w:type="spellStart"/>
            <w:r>
              <w:t>termsheet</w:t>
            </w:r>
            <w:proofErr w:type="spellEnd"/>
            <w:r>
              <w:t>, you should obtain independent professional advice.</w:t>
            </w:r>
          </w:p>
          <w:p w14:paraId="22CF912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0FFFF3B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This </w:t>
            </w:r>
            <w:proofErr w:type="spellStart"/>
            <w:r>
              <w:t>termsheet</w:t>
            </w:r>
            <w:proofErr w:type="spellEnd"/>
            <w:r>
              <w:t xml:space="preserve"> has not been approved by the Securities and Futures Commission in Hong Kong and, accordingly, (i) the Notes (except for Notes which are “structured products” as defined in the Securities and Futures Ordinance (Cap. 571) of Hong Kong (the “SFO”)) may not be offered or sold in Hong Kong by means of this </w:t>
            </w:r>
            <w:proofErr w:type="spellStart"/>
            <w:r>
              <w:t>termsheet</w:t>
            </w:r>
            <w:proofErr w:type="spellEnd"/>
            <w:r>
              <w:t xml:space="preserve"> or any other document other than to “professional investors” as defined in the SFO and any rules made thereunder, or in other circumstances which do not result in the </w:t>
            </w:r>
            <w:proofErr w:type="spellStart"/>
            <w:r>
              <w:t>termsheet</w:t>
            </w:r>
            <w:proofErr w:type="spellEnd"/>
            <w:r>
              <w:t xml:space="preserve">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w:t>
            </w:r>
            <w:proofErr w:type="spellStart"/>
            <w:r>
              <w:t>termsheet</w:t>
            </w:r>
            <w:proofErr w:type="spellEnd"/>
            <w:r>
              <w:t xml:space="preserve"> relating to the Notes which is </w:t>
            </w:r>
            <w:r>
              <w:lastRenderedPageBreak/>
              <w:t>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A94830" w14:paraId="268ED970"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EE14C04" w14:textId="77777777" w:rsidR="00A94830" w:rsidRDefault="002628B3">
            <w:pPr>
              <w:pStyle w:val="TSTableHeading"/>
            </w:pPr>
            <w:r>
              <w:rPr>
                <w:b/>
              </w:rPr>
              <w:lastRenderedPageBreak/>
              <w:t>Singapore Offering Information</w:t>
            </w:r>
          </w:p>
        </w:tc>
        <w:tc>
          <w:tcPr>
            <w:tcW w:w="8165" w:type="dxa"/>
          </w:tcPr>
          <w:p w14:paraId="642E04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w:t>
            </w:r>
            <w:proofErr w:type="spellStart"/>
            <w:r>
              <w:t>termsheet</w:t>
            </w:r>
            <w:proofErr w:type="spellEnd"/>
            <w:r>
              <w:t xml:space="preserve">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5466F4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Where the Notes are subscribed or purchased under Section 275 of the SFA by a relevant person which is:</w:t>
            </w:r>
          </w:p>
          <w:p w14:paraId="0CCF1FD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(a)</w:t>
            </w:r>
            <w:r>
              <w:tab/>
              <w:t>a corporation (which is not an accredited investor (as defined in Section 4A of the SFA) the sole business of which is to hold investments and the entire share capital of which is owned by one or more individuals, each of whom is accredited investor; or</w:t>
            </w:r>
          </w:p>
          <w:p w14:paraId="0105124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(b)</w:t>
            </w:r>
            <w:r>
              <w:tab/>
              <w:t>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3A9A4CB0"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w:t>
            </w:r>
            <w:r>
              <w:tab/>
              <w:t xml:space="preserve">to an institutional investor or to a relevant person or to any person arising from an offer referred to in Section 275(1A) or Section 276(4)(i)(B) of the </w:t>
            </w:r>
            <w:proofErr w:type="gramStart"/>
            <w:r>
              <w:t>SFA;</w:t>
            </w:r>
            <w:proofErr w:type="gramEnd"/>
          </w:p>
          <w:p w14:paraId="4C7CC631"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w:t>
            </w:r>
            <w:r>
              <w:tab/>
              <w:t xml:space="preserve">where no consideration is or will be given for the </w:t>
            </w:r>
            <w:proofErr w:type="gramStart"/>
            <w:r>
              <w:t>transfer;</w:t>
            </w:r>
            <w:proofErr w:type="gramEnd"/>
          </w:p>
          <w:p w14:paraId="69CC2B54"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(iii)</w:t>
            </w:r>
            <w:r>
              <w:tab/>
              <w:t xml:space="preserve">where the transfer is by operation of </w:t>
            </w:r>
            <w:proofErr w:type="gramStart"/>
            <w:r>
              <w:t>law;</w:t>
            </w:r>
            <w:proofErr w:type="gramEnd"/>
          </w:p>
          <w:p w14:paraId="58A7141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(iv)</w:t>
            </w:r>
            <w:r>
              <w:tab/>
              <w:t>as specified in Section 276(7) of the SFA; or</w:t>
            </w:r>
          </w:p>
          <w:p w14:paraId="1CB9FF9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(v)</w:t>
            </w:r>
            <w:r>
              <w:tab/>
              <w:t>as specified in Regulation 37A of the Securities and Futures (Offers of Investments) (Securities and Securities–based Derivatives Contracts) Regulations 2018 of Singapore.</w:t>
            </w:r>
          </w:p>
        </w:tc>
      </w:tr>
      <w:tr w:rsidR="00A94830" w14:paraId="7B50775A"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1385D27" w14:textId="77777777" w:rsidR="00A94830" w:rsidRDefault="002628B3">
            <w:pPr>
              <w:pStyle w:val="TSTableHeading"/>
            </w:pPr>
            <w:r>
              <w:rPr>
                <w:b/>
              </w:rPr>
              <w:t>UAE (excluding Dubai International Financial Centre) Offering Information</w:t>
            </w:r>
          </w:p>
        </w:tc>
        <w:tc>
          <w:tcPr>
            <w:tcW w:w="8165" w:type="dxa"/>
          </w:tcPr>
          <w:p w14:paraId="7A5A753C"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Notes have not been, and will not be, offered, sold or publicly promoted or advertised by it in the United Arab Emirates other than in compliance with any laws applicable in the United Arab Emirates governing the issue, offering and sale of Notes.</w:t>
            </w:r>
          </w:p>
        </w:tc>
      </w:tr>
      <w:tr w:rsidR="00A94830" w14:paraId="6CD90BAD"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8FFC1F0" w14:textId="77777777" w:rsidR="00A94830" w:rsidRDefault="002628B3">
            <w:pPr>
              <w:pStyle w:val="TSTableHeading"/>
            </w:pPr>
            <w:r>
              <w:rPr>
                <w:b/>
              </w:rPr>
              <w:t>Bahrain Offering Information</w:t>
            </w:r>
          </w:p>
        </w:tc>
        <w:tc>
          <w:tcPr>
            <w:tcW w:w="8165" w:type="dxa"/>
          </w:tcPr>
          <w:p w14:paraId="66BFF2F8"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has been prepared for information purposes of intended investors only who will be high net worth individuals and institutions. The issuer represents and warrants that it has not made and will not make any invitation in or from the kingdom of Bahrain and will not market or offer the securities to any potential investor in Bahrain. All marketing and offering </w:t>
            </w:r>
            <w:proofErr w:type="gramStart"/>
            <w:r>
              <w:t>is</w:t>
            </w:r>
            <w:proofErr w:type="gramEnd"/>
            <w:r>
              <w:t xml:space="preserve"> made and will be made outside the kingdom of Bahrain. The central bank of Bahrain has not reviewed, nor has it approved, this </w:t>
            </w:r>
            <w:proofErr w:type="spellStart"/>
            <w:r>
              <w:t>termsheet</w:t>
            </w:r>
            <w:proofErr w:type="spellEnd"/>
            <w:r>
              <w:t xml:space="preserve"> or the marketing of the securities and takes no responsibility for the accuracy of the statements and information contained in this </w:t>
            </w:r>
            <w:proofErr w:type="spellStart"/>
            <w:proofErr w:type="gramStart"/>
            <w:r>
              <w:t>termsheet</w:t>
            </w:r>
            <w:proofErr w:type="spellEnd"/>
            <w:r>
              <w:t xml:space="preserve"> ,</w:t>
            </w:r>
            <w:proofErr w:type="gramEnd"/>
            <w:r>
              <w:t xml:space="preserve"> nor shall it have any liability to any person for any loss or damage resulting from reliance on any statements or information contained herein.</w:t>
            </w:r>
          </w:p>
        </w:tc>
      </w:tr>
      <w:tr w:rsidR="00A94830" w14:paraId="183E1F34"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DA1E827" w14:textId="77777777" w:rsidR="00A94830" w:rsidRDefault="002628B3">
            <w:pPr>
              <w:pStyle w:val="TSTableHeading"/>
            </w:pPr>
            <w:r>
              <w:rPr>
                <w:b/>
              </w:rPr>
              <w:lastRenderedPageBreak/>
              <w:t>Israel Offering Information</w:t>
            </w:r>
          </w:p>
        </w:tc>
        <w:tc>
          <w:tcPr>
            <w:tcW w:w="8165" w:type="dxa"/>
          </w:tcPr>
          <w:p w14:paraId="2754073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Israeli Securities law. Neither such offering nor the Notes have been qualified or approved by the Israeli Securities Authority or any other government or regulatory body. RBC is not licensed under The Regularization of Engagement in Investment Counselling Investment Marketing and Portfolio Management Law, 1995 (the “Counselling Law”) and therefore, RBC does not carry insurance as would be required if RBC were licensed.</w:t>
            </w:r>
          </w:p>
          <w:p w14:paraId="5DA4D9A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The purchaser represents, warrants and covenants that: (i) the purchaser is acquiring the Notes as a principal only and not as an agent of Royal Bank of Canada, (ii) all risks associated with the holding or owning of the Notes are irrevocably transferred to the purchaser upon the purchase of such Notes by the purchaser, (iii) the purchaser will not share with RBC any gains or losses it realizes in connection with the Notes; (iv) neither RBC nor RBC EL has provided the purchaser with any investment advice in connection with the purchaser’s purchase of the Notes and the purchaser has consulted with its own investment advisors in connection therewith; (v) to the extent relevant to the purchaser. The purchaser will comply with the applicable provisions of Israel’s Currency Control Law, 1978 and the amended Currency Control Permit, 1998 promulgated thereunder in connection with the Notes; and (vi) the purchaser shall at all times comply with Israeli and other applicable laws and regulations, including securities laws and regulation, in connection with Notes and the purchaser shall take no action which would or not fail to take any action if the failure would cause RBC or RBC EL to be in violation of any such laws or regulations.</w:t>
            </w:r>
          </w:p>
        </w:tc>
      </w:tr>
      <w:tr w:rsidR="00A94830" w14:paraId="275DE064"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23FD154" w14:textId="77777777" w:rsidR="00A94830" w:rsidRDefault="002628B3">
            <w:pPr>
              <w:pStyle w:val="TSTableHeading"/>
            </w:pPr>
            <w:r>
              <w:rPr>
                <w:b/>
              </w:rPr>
              <w:t>Monaco Offering Information</w:t>
            </w:r>
          </w:p>
        </w:tc>
        <w:tc>
          <w:tcPr>
            <w:tcW w:w="8165" w:type="dxa"/>
          </w:tcPr>
          <w:p w14:paraId="054E49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securities may not be offered or sold, directly or indirectly, to the public in Monaco other than by a Monaco Bank or a duly authorized Monegasque intermediary. Consequently, this document may only be communicated to Monaco banks duly licensed by the “</w:t>
            </w:r>
            <w:proofErr w:type="spellStart"/>
            <w:r>
              <w:t>Autorité</w:t>
            </w:r>
            <w:proofErr w:type="spellEnd"/>
            <w:r>
              <w:t xml:space="preserve"> de </w:t>
            </w:r>
            <w:proofErr w:type="spellStart"/>
            <w:r>
              <w:t>Contrôle</w:t>
            </w:r>
            <w:proofErr w:type="spellEnd"/>
            <w:r>
              <w:t xml:space="preserve"> </w:t>
            </w:r>
            <w:proofErr w:type="spellStart"/>
            <w:r>
              <w:t>Prudentiel</w:t>
            </w:r>
            <w:proofErr w:type="spellEnd"/>
            <w:r>
              <w:t xml:space="preserve">” and fully licensed Monaco portfolio management companies by virtue of Law n° 1.144 of July 26, 1991 and Law 1.338, of September 7, 2007 duly licensed by the “Commission de </w:t>
            </w:r>
            <w:proofErr w:type="spellStart"/>
            <w:r>
              <w:t>Contrôle</w:t>
            </w:r>
            <w:proofErr w:type="spellEnd"/>
            <w:r>
              <w:t xml:space="preserve"> des </w:t>
            </w:r>
            <w:proofErr w:type="spellStart"/>
            <w:r>
              <w:t>Activités</w:t>
            </w:r>
            <w:proofErr w:type="spellEnd"/>
            <w:r>
              <w:t xml:space="preserve"> </w:t>
            </w:r>
            <w:proofErr w:type="spellStart"/>
            <w:proofErr w:type="gramStart"/>
            <w:r>
              <w:t>Financières</w:t>
            </w:r>
            <w:proofErr w:type="spellEnd"/>
            <w:r>
              <w:t>”(</w:t>
            </w:r>
            <w:proofErr w:type="gramEnd"/>
            <w:r>
              <w:t>“CCAF”). Such regulated intermediaries may in turn communicate this document to potential investors.</w:t>
            </w:r>
          </w:p>
        </w:tc>
      </w:tr>
      <w:tr w:rsidR="00A94830" w14:paraId="06E4CCB0"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7762DA0" w14:textId="77777777" w:rsidR="00A94830" w:rsidRDefault="002628B3">
            <w:pPr>
              <w:pStyle w:val="TSTableHeading"/>
            </w:pPr>
            <w:r>
              <w:rPr>
                <w:b/>
              </w:rPr>
              <w:t>Dubai International Financial Centre Offering Information</w:t>
            </w:r>
          </w:p>
        </w:tc>
        <w:tc>
          <w:tcPr>
            <w:tcW w:w="8165" w:type="dxa"/>
          </w:tcPr>
          <w:p w14:paraId="6BC1300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it has not offered and will not offer Notes to any person in the Dubai International Financial Centre unless such offer is:</w:t>
            </w:r>
          </w:p>
          <w:p w14:paraId="6D5CAC19"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(a)</w:t>
            </w:r>
            <w:r>
              <w:tab/>
              <w:t>An “Exempt Offer” in accordance with the Market Rules (MKT) Module of the Dubai Financial Services Authority (the “</w:t>
            </w:r>
            <w:r>
              <w:rPr>
                <w:b/>
              </w:rPr>
              <w:t>DFSA</w:t>
            </w:r>
            <w:r>
              <w:t>”) rulebook; and</w:t>
            </w:r>
          </w:p>
          <w:p w14:paraId="17432B67"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(b)</w:t>
            </w:r>
            <w:r>
              <w:tab/>
              <w:t>Made only to persons who meet the Professional Client criteria set out in Rule 2.3.3 of the Conduct of Business Module of the DFSA rulebook.</w:t>
            </w:r>
          </w:p>
        </w:tc>
      </w:tr>
      <w:tr w:rsidR="00A94830" w14:paraId="16CC0A46"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128D2D3E" w14:textId="77777777" w:rsidR="00A94830" w:rsidRDefault="002628B3">
            <w:pPr>
              <w:pStyle w:val="TSTableHeading"/>
            </w:pPr>
            <w:r>
              <w:rPr>
                <w:b/>
              </w:rPr>
              <w:t>Japan Offering Information</w:t>
            </w:r>
          </w:p>
        </w:tc>
        <w:tc>
          <w:tcPr>
            <w:tcW w:w="8165" w:type="dxa"/>
          </w:tcPr>
          <w:p w14:paraId="4D0D6A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No registration pursuant to Article 4, Paragraph 1 of the Financial Instruments and Exchange Act of Japan (Act No. 25 of 1948, as amended) (the “FIEA”) has been made or will be made with respect to the Notes. The Dealer has represented and agreed, and each further Dealer appointed under the Base Prospectus will be required to represent and agree, that it will not offer or sell any Notes, directly or indirectly, in Japan or to, or for the benefit of, any Resident of Japan (as defined under Article 6, Paragraph 1, Item 5 of the Foreign Exchange and Foreign Trade Act (Act No. 228 of 1949, as amended)), or to others for re-offering or resale, directly or indirectly, in Japan or to, or for the benefit of a resident of Japan except pursuant to an exemption from the registration requirements of, and otherwise in compliance with, the FIEA and any other applicable laws, regulations and ministerial guidelines of Japan.</w:t>
            </w:r>
          </w:p>
        </w:tc>
      </w:tr>
    </w:tbl>
    <w:p w14:paraId="2CB2E2CB" w14:textId="77777777" w:rsidR="00A94830" w:rsidRDefault="00A94830"/>
    <w:p w14:paraId="65B34489" w14:textId="77777777" w:rsidR="00A94830" w:rsidRDefault="002628B3">
      <w:pPr>
        <w:rPr>
          <w:rFonts w:ascii="HelveticaNeueLT Std" w:eastAsia="Times New Roman" w:hAnsi="HelveticaNeueLT Std" w:cs="Arial"/>
          <w:sz w:val="18"/>
          <w:szCs w:val="18"/>
          <w:lang w:val="en-US"/>
        </w:rPr>
      </w:pPr>
      <w:r>
        <w:br w:type="page"/>
      </w:r>
    </w:p>
    <w:p w14:paraId="29591DDA" w14:textId="77777777" w:rsidR="00A94830" w:rsidRDefault="002628B3">
      <w:pPr>
        <w:pStyle w:val="TSTableBody"/>
      </w:pPr>
      <w:r>
        <w:lastRenderedPageBreak/>
        <w:t xml:space="preserve">THE ABOVE IS A SUMMARY OF THE INDICATIVE TERMS AND CONDITIONS OF A PROPOSED TRANSACTION AND DOES NOT INCLUDE ALL DEFINED TERMS. ALL THE INDICATIVE TERMS AND CONDITIONS ABOVE ARE SUBJECT TO CHANGE; </w:t>
      </w:r>
      <w:proofErr w:type="gramStart"/>
      <w:r>
        <w:t>THEREFORE</w:t>
      </w:r>
      <w:proofErr w:type="gramEnd"/>
      <w:r>
        <w:t xml:space="preserve"> NO RELIANCE SHOULD BE PLACED ON THIS SUMMARY. WHEN MAKING AN INVESTMENT DECISION, ANY PROSPECTIVE INVESTOR SHOULD RELY SOLELY ON THE FINAL PRICING SUPPLEMENT, WHICH WILL CONTAIN THE FINAL TERMS AND CONDITIONS OF THE TRANSACTION, NOT ON THE SUMMARY ABOVE.</w:t>
      </w:r>
    </w:p>
    <w:p w14:paraId="5ADB051E" w14:textId="77777777" w:rsidR="00A94830" w:rsidRDefault="002628B3">
      <w:pPr>
        <w:pStyle w:val="TSTableBody"/>
      </w:pPr>
      <w:r>
        <w:t xml:space="preserve">This document has been prepared by RBC Capital Markets (“RBCCM”) for discussion and/or information purposes only and does not constitute either an offer or the solicitation of an offer to </w:t>
      </w:r>
      <w:proofErr w:type="gramStart"/>
      <w:r>
        <w:t>enter into</w:t>
      </w:r>
      <w:proofErr w:type="gramEnd"/>
      <w:r>
        <w:t xml:space="preserve"> securities or any other transaction. This document is an indicative summary of the terms and conditions of the transaction described herein. It is not intended to set forth a final expression of the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w:t>
      </w:r>
      <w:proofErr w:type="spellStart"/>
      <w:r>
        <w:t>termsheet</w:t>
      </w:r>
      <w:proofErr w:type="spellEnd"/>
      <w:r>
        <w:t xml:space="preserve"> for definitive information. This document shall not constitute an underwriting commitment, an offer to sell, or the solicitation of an offer to buy any securities, commodities or other instruments, or a recommendation to </w:t>
      </w:r>
      <w:proofErr w:type="gramStart"/>
      <w:r>
        <w:t>enter into</w:t>
      </w:r>
      <w:proofErr w:type="gramEnd"/>
      <w:r>
        <w:t xml:space="preserve">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w:t>
      </w:r>
      <w:proofErr w:type="gramStart"/>
      <w:r>
        <w:t>enter into</w:t>
      </w:r>
      <w:proofErr w:type="gramEnd"/>
      <w:r>
        <w:t xml:space="preserve"> any transaction. To the extent that you subsequently </w:t>
      </w:r>
      <w:proofErr w:type="gramStart"/>
      <w:r>
        <w:t>enter into</w:t>
      </w:r>
      <w:proofErr w:type="gramEnd"/>
      <w:r>
        <w:t xml:space="preserve"> a transaction with RBC and/or any of its affiliates this would be on the basis that you were transacting with us as principal (and not as agent or in any other capacity, fiduciary or otherwise) and no other person would have an interest herein.</w:t>
      </w:r>
    </w:p>
    <w:p w14:paraId="1F603055" w14:textId="77777777" w:rsidR="00A94830" w:rsidRDefault="002628B3">
      <w:pPr>
        <w:pStyle w:val="TSTableBody"/>
      </w:pPr>
      <w:r>
        <w:t>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w:t>
      </w:r>
    </w:p>
    <w:p w14:paraId="482AFDF3" w14:textId="77777777" w:rsidR="00A94830" w:rsidRDefault="002628B3">
      <w:pPr>
        <w:pStyle w:val="TSTableBody"/>
      </w:pPr>
      <w:r>
        <w:t>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w:t>
      </w:r>
    </w:p>
    <w:p w14:paraId="345D41A6" w14:textId="77777777" w:rsidR="00A94830" w:rsidRDefault="002628B3">
      <w:pPr>
        <w:pStyle w:val="TSTableBody"/>
      </w:pPr>
      <w:r>
        <w:rPr>
          <w:b/>
        </w:rPr>
        <w:t xml:space="preserve">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w:t>
      </w:r>
      <w:proofErr w:type="gramStart"/>
      <w:r>
        <w:rPr>
          <w:b/>
        </w:rPr>
        <w:t>Accordingly</w:t>
      </w:r>
      <w:proofErr w:type="gramEnd"/>
      <w:r>
        <w:rPr>
          <w:b/>
        </w:rPr>
        <w:t xml:space="preserve">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w:t>
      </w:r>
    </w:p>
    <w:p w14:paraId="78AC4622" w14:textId="77777777" w:rsidR="00A94830" w:rsidRDefault="002628B3">
      <w:pPr>
        <w:pStyle w:val="TSTableBody"/>
      </w:pPr>
      <w:r>
        <w:t>RBC Capital Markets is a business name used by certain branches, subsidiaries and business units of Royal Bank of Canada including RBC Europe Limited, Royal Bank of Canada, London Branch, RBC Dominion Securities Inc., RBC Capital Markets, LLC, Royal Bank of Canada - Hong Kong Branch, RBC Capital Markets (Hong Kong) Limited and Royal Bank of Canada - Sydney Branch.  RBC Europe Limited is authorized and regulated by the Prudential Regulation Authority and regulated by the Financial Conduct Authority and the Prudential Regulation Authority and Royal Bank of Canada, London Branch a is authorized and regulated by the Office of the Superintendent of Financial Institutions of Canada and by the Prudential Regulation Authority. This document is approved for issue in the UK by RBC Europe Limited which is an authorized and regulated by the Financial Conduct Authority.</w:t>
      </w:r>
    </w:p>
    <w:p w14:paraId="040B7579" w14:textId="77777777" w:rsidR="00A94830" w:rsidRDefault="002628B3">
      <w:pPr>
        <w:pStyle w:val="TSTableBody"/>
      </w:pPr>
      <w:r>
        <w:t>This document is confidential, and no part of this may be reproduced, distributed or transmitted without the prior written permission of RBC Europe Limited.</w:t>
      </w:r>
    </w:p>
    <w:p w14:paraId="46A664D2" w14:textId="5B9C42B4" w:rsidR="00A94830" w:rsidRDefault="002628B3">
      <w:pPr>
        <w:pStyle w:val="TSTableBody"/>
      </w:pPr>
      <w:r>
        <w:t xml:space="preserve">© RBC Europe Limited </w:t>
      </w:r>
      <w:r w:rsidR="00681C2A">
        <w:t>202</w:t>
      </w:r>
      <w:r w:rsidR="009138BE">
        <w:t>5</w:t>
      </w:r>
      <w:r w:rsidR="00681C2A">
        <w:t xml:space="preserve"> </w:t>
      </w:r>
      <w:r>
        <w:t>(all rights reserved).</w:t>
      </w:r>
    </w:p>
    <w:sectPr w:rsidR="00A94830">
      <w:footerReference w:type="default" r:id="rId9"/>
      <w:headerReference w:type="first" r:id="rId10"/>
      <w:footerReference w:type="first" r:id="rId11"/>
      <w:pgSz w:w="11906" w:h="16838"/>
      <w:pgMar w:top="851" w:right="849" w:bottom="1440" w:left="993"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05E51" w14:textId="77777777" w:rsidR="00281D5F" w:rsidRDefault="00281D5F" w:rsidP="00040352">
      <w:pPr>
        <w:spacing w:after="0" w:line="240" w:lineRule="auto"/>
      </w:pPr>
      <w:r>
        <w:separator/>
      </w:r>
    </w:p>
  </w:endnote>
  <w:endnote w:type="continuationSeparator" w:id="0">
    <w:p w14:paraId="5A01CF37" w14:textId="77777777" w:rsidR="00281D5F" w:rsidRDefault="00281D5F" w:rsidP="00040352">
      <w:pPr>
        <w:spacing w:after="0" w:line="240" w:lineRule="auto"/>
      </w:pPr>
      <w:r>
        <w:continuationSeparator/>
      </w:r>
    </w:p>
  </w:endnote>
  <w:endnote w:type="continuationNotice" w:id="1">
    <w:p w14:paraId="05502E09" w14:textId="77777777" w:rsidR="00281D5F" w:rsidRDefault="00281D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NeueLT Std">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0A0" w:firstRow="1" w:lastRow="0" w:firstColumn="1" w:lastColumn="0" w:noHBand="0" w:noVBand="0"/>
    </w:tblPr>
    <w:tblGrid>
      <w:gridCol w:w="5107"/>
      <w:gridCol w:w="4957"/>
    </w:tblGrid>
    <w:tr w:rsidR="00AA5C8E" w:rsidRPr="00AA5C8E" w14:paraId="6C11F448" w14:textId="77777777" w:rsidTr="00635188">
      <w:tc>
        <w:tcPr>
          <w:tcW w:w="5107" w:type="dxa"/>
        </w:tcPr>
        <w:p w14:paraId="3346BE75"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 xml:space="preserve">RBC Europe Limited </w:t>
          </w:r>
          <w:r w:rsidR="00AA5C8E" w:rsidRPr="00AA5C8E">
            <w:rPr>
              <w:rFonts w:ascii="HelveticaNeueLT Std" w:hAnsi="HelveticaNeueLT Std"/>
              <w:sz w:val="14"/>
              <w:szCs w:val="14"/>
            </w:rPr>
            <w:t>Registered in England and Wales: 995939</w:t>
          </w:r>
        </w:p>
        <w:p w14:paraId="3C056C3D"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RBC Europe Limited</w:t>
          </w:r>
          <w:r w:rsidRPr="00AA5C8E">
            <w:rPr>
              <w:rFonts w:ascii="HelveticaNeueLT Std" w:hAnsi="HelveticaNeueLT Std"/>
              <w:sz w:val="14"/>
              <w:szCs w:val="14"/>
            </w:rPr>
            <w:t xml:space="preserve"> </w:t>
          </w:r>
          <w:r w:rsidR="00AA5C8E" w:rsidRPr="00AA5C8E">
            <w:rPr>
              <w:rFonts w:ascii="HelveticaNeueLT Std" w:hAnsi="HelveticaNeueLT Std"/>
              <w:sz w:val="14"/>
              <w:szCs w:val="14"/>
            </w:rPr>
            <w:t xml:space="preserve">Registered Address: </w:t>
          </w:r>
          <w:r w:rsidR="00E539E7" w:rsidRPr="00E539E7">
            <w:rPr>
              <w:rFonts w:ascii="HelveticaNeueLT Std" w:hAnsi="HelveticaNeueLT Std"/>
              <w:sz w:val="14"/>
              <w:szCs w:val="14"/>
            </w:rPr>
            <w:t>100 Bishopsgate London EC2N 4AA</w:t>
          </w:r>
        </w:p>
      </w:tc>
      <w:tc>
        <w:tcPr>
          <w:tcW w:w="4957" w:type="dxa"/>
        </w:tcPr>
        <w:p w14:paraId="371642EB" w14:textId="77777777" w:rsidR="00AA5C8E" w:rsidRPr="00AA5C8E" w:rsidRDefault="00AA5C8E" w:rsidP="00AA5C8E">
          <w:pPr>
            <w:pStyle w:val="Footer"/>
            <w:jc w:val="right"/>
            <w:rPr>
              <w:rFonts w:ascii="HelveticaNeueLT Std" w:hAnsi="HelveticaNeueLT Std"/>
              <w:sz w:val="14"/>
              <w:szCs w:val="14"/>
            </w:rPr>
          </w:pPr>
          <w:r w:rsidRPr="00AA5C8E">
            <w:rPr>
              <w:rFonts w:ascii="HelveticaNeueLT Std" w:hAnsi="HelveticaNeueLT Std" w:cs="Arial"/>
              <w:sz w:val="14"/>
              <w:szCs w:val="14"/>
              <w:shd w:val="clear" w:color="auto" w:fill="FFFFFF"/>
            </w:rPr>
            <w:t>Authorised by the Prudential Regulatory Authority ("PRA") and regulated by the Financial Conduct Authority ("FCA") and the PRA</w:t>
          </w:r>
        </w:p>
      </w:tc>
    </w:tr>
  </w:tbl>
  <w:p w14:paraId="07D54FDE" w14:textId="77777777" w:rsidR="00AA5C8E" w:rsidRPr="00AA5C8E" w:rsidRDefault="00FD7B62" w:rsidP="00AA5C8E">
    <w:pPr>
      <w:pStyle w:val="Footer"/>
      <w:jc w:val="right"/>
      <w:rPr>
        <w:rFonts w:ascii="HelveticaNeueLT Std" w:hAnsi="HelveticaNeueLT Std"/>
        <w:b/>
        <w:bCs/>
        <w:sz w:val="14"/>
        <w:szCs w:val="14"/>
      </w:rPr>
    </w:pPr>
    <w:r>
      <w:rPr>
        <w:rFonts w:ascii="HelveticaNeueLT Std" w:hAnsi="HelveticaNeueLT Std" w:cs="Arial"/>
        <w:b/>
        <w:bCs/>
        <w:sz w:val="14"/>
        <w:szCs w:val="14"/>
      </w:rPr>
      <w:br/>
    </w:r>
    <w:r w:rsidR="00AA5C8E" w:rsidRPr="00AA5C8E">
      <w:rPr>
        <w:rFonts w:ascii="HelveticaNeueLT Std" w:hAnsi="HelveticaNeueLT Std" w:cs="Arial"/>
        <w:b/>
        <w:bCs/>
        <w:sz w:val="14"/>
        <w:szCs w:val="14"/>
      </w:rPr>
      <w:fldChar w:fldCharType="begin"/>
    </w:r>
    <w:r w:rsidR="00AA5C8E" w:rsidRPr="00AA5C8E">
      <w:rPr>
        <w:rFonts w:ascii="HelveticaNeueLT Std" w:hAnsi="HelveticaNeueLT Std" w:cs="Arial"/>
        <w:b/>
        <w:bCs/>
        <w:sz w:val="14"/>
        <w:szCs w:val="14"/>
      </w:rPr>
      <w:instrText xml:space="preserve"> PAGE   \* MERGEFORMAT </w:instrText>
    </w:r>
    <w:r w:rsidR="00AA5C8E"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4</w:t>
    </w:r>
    <w:r w:rsidR="00AA5C8E" w:rsidRPr="00AA5C8E">
      <w:rPr>
        <w:rFonts w:ascii="HelveticaNeueLT Std" w:hAnsi="HelveticaNeueLT Std" w:cs="Arial"/>
        <w:b/>
        <w:bCs/>
        <w:noProof/>
        <w:sz w:val="14"/>
        <w:szCs w:val="14"/>
      </w:rPr>
      <w:fldChar w:fldCharType="end"/>
    </w:r>
    <w:r w:rsidR="00AA5C8E">
      <w:rPr>
        <w:rFonts w:ascii="HelveticaNeueLT Std" w:hAnsi="HelveticaNeueLT Std" w:cs="Arial"/>
        <w:b/>
        <w:bCs/>
        <w:noProof/>
        <w:sz w:val="14"/>
        <w:szCs w:val="14"/>
      </w:rPr>
      <w:t xml:space="preserve"> / </w:t>
    </w:r>
    <w:r w:rsidR="002660B2">
      <w:rPr>
        <w:rFonts w:ascii="HelveticaNeueLT Std" w:hAnsi="HelveticaNeueLT Std" w:cs="Arial"/>
        <w:b/>
        <w:bCs/>
        <w:noProof/>
        <w:sz w:val="14"/>
        <w:szCs w:val="14"/>
      </w:rPr>
      <w:fldChar w:fldCharType="begin"/>
    </w:r>
    <w:r w:rsidR="002660B2">
      <w:rPr>
        <w:rFonts w:ascii="HelveticaNeueLT Std" w:hAnsi="HelveticaNeueLT Std" w:cs="Arial"/>
        <w:b/>
        <w:bCs/>
        <w:noProof/>
        <w:sz w:val="14"/>
        <w:szCs w:val="14"/>
      </w:rPr>
      <w:instrText xml:space="preserve"> NUMPAGES   \* MERGEFORMAT </w:instrText>
    </w:r>
    <w:r w:rsidR="002660B2">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sidR="002660B2">
      <w:rPr>
        <w:rFonts w:ascii="HelveticaNeueLT Std" w:hAnsi="HelveticaNeueLT Std" w:cs="Arial"/>
        <w:b/>
        <w:bCs/>
        <w:noProof/>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404A0" w14:textId="77777777" w:rsidR="002660B2" w:rsidRDefault="002660B2" w:rsidP="002660B2">
    <w:pPr>
      <w:pStyle w:val="Footer"/>
      <w:jc w:val="right"/>
      <w:rPr>
        <w:rFonts w:ascii="HelveticaNeueLT Std" w:hAnsi="HelveticaNeueLT Std" w:cs="Arial"/>
        <w:b/>
        <w:bCs/>
        <w:sz w:val="14"/>
        <w:szCs w:val="14"/>
      </w:rPr>
    </w:pPr>
    <w:r w:rsidRPr="00AA5C8E">
      <w:rPr>
        <w:rFonts w:ascii="HelveticaNeueLT Std" w:hAnsi="HelveticaNeueLT Std" w:cs="Arial"/>
        <w:b/>
        <w:bCs/>
        <w:sz w:val="14"/>
        <w:szCs w:val="14"/>
      </w:rPr>
      <w:fldChar w:fldCharType="begin"/>
    </w:r>
    <w:r w:rsidRPr="00AA5C8E">
      <w:rPr>
        <w:rFonts w:ascii="HelveticaNeueLT Std" w:hAnsi="HelveticaNeueLT Std" w:cs="Arial"/>
        <w:b/>
        <w:bCs/>
        <w:sz w:val="14"/>
        <w:szCs w:val="14"/>
      </w:rPr>
      <w:instrText xml:space="preserve"> PAGE   \* MERGEFORMAT </w:instrText>
    </w:r>
    <w:r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1</w:t>
    </w:r>
    <w:r w:rsidRPr="00AA5C8E">
      <w:rPr>
        <w:rFonts w:ascii="HelveticaNeueLT Std" w:hAnsi="HelveticaNeueLT Std" w:cs="Arial"/>
        <w:b/>
        <w:bCs/>
        <w:noProof/>
        <w:sz w:val="14"/>
        <w:szCs w:val="14"/>
      </w:rPr>
      <w:fldChar w:fldCharType="end"/>
    </w:r>
    <w:r>
      <w:rPr>
        <w:rFonts w:ascii="HelveticaNeueLT Std" w:hAnsi="HelveticaNeueLT Std" w:cs="Arial"/>
        <w:b/>
        <w:bCs/>
        <w:noProof/>
        <w:sz w:val="14"/>
        <w:szCs w:val="14"/>
      </w:rPr>
      <w:t xml:space="preserve"> / </w:t>
    </w:r>
    <w:r>
      <w:rPr>
        <w:rFonts w:ascii="HelveticaNeueLT Std" w:hAnsi="HelveticaNeueLT Std" w:cs="Arial"/>
        <w:b/>
        <w:bCs/>
        <w:noProof/>
        <w:sz w:val="14"/>
        <w:szCs w:val="14"/>
      </w:rPr>
      <w:fldChar w:fldCharType="begin"/>
    </w:r>
    <w:r>
      <w:rPr>
        <w:rFonts w:ascii="HelveticaNeueLT Std" w:hAnsi="HelveticaNeueLT Std" w:cs="Arial"/>
        <w:b/>
        <w:bCs/>
        <w:noProof/>
        <w:sz w:val="14"/>
        <w:szCs w:val="14"/>
      </w:rPr>
      <w:instrText xml:space="preserve"> NUMPAGES   \* MERGEFORMAT </w:instrText>
    </w:r>
    <w:r>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Pr>
        <w:rFonts w:ascii="HelveticaNeueLT Std" w:hAnsi="HelveticaNeueLT Std" w:cs="Arial"/>
        <w:b/>
        <w:bCs/>
        <w:noProof/>
        <w:sz w:val="14"/>
        <w:szCs w:val="14"/>
      </w:rPr>
      <w:fldChar w:fldCharType="end"/>
    </w:r>
  </w:p>
  <w:p w14:paraId="1EF25142" w14:textId="77777777" w:rsidR="002660B2" w:rsidRPr="00281D5F" w:rsidRDefault="002660B2" w:rsidP="002660B2">
    <w:pPr>
      <w:pStyle w:val="Footer"/>
      <w:jc w:val="right"/>
      <w:rPr>
        <w:rFonts w:ascii="HelveticaNeueLT Std" w:hAnsi="HelveticaNeueLT Std"/>
        <w:b/>
        <w:sz w:val="16"/>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6992A" w14:textId="77777777" w:rsidR="00281D5F" w:rsidRDefault="00281D5F" w:rsidP="00040352">
      <w:pPr>
        <w:spacing w:after="0" w:line="240" w:lineRule="auto"/>
      </w:pPr>
      <w:r>
        <w:separator/>
      </w:r>
    </w:p>
  </w:footnote>
  <w:footnote w:type="continuationSeparator" w:id="0">
    <w:p w14:paraId="15ACCAC7" w14:textId="77777777" w:rsidR="00281D5F" w:rsidRDefault="00281D5F" w:rsidP="00040352">
      <w:pPr>
        <w:spacing w:after="0" w:line="240" w:lineRule="auto"/>
      </w:pPr>
      <w:r>
        <w:continuationSeparator/>
      </w:r>
    </w:p>
  </w:footnote>
  <w:footnote w:type="continuationNotice" w:id="1">
    <w:p w14:paraId="1640F591" w14:textId="77777777" w:rsidR="00281D5F" w:rsidRDefault="00281D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3C59B" w14:textId="4ACDAFCA" w:rsidR="00AE43D6" w:rsidRDefault="00E81911" w:rsidP="00016766">
    <w:pPr>
      <w:pStyle w:val="TSWarning"/>
      <w:spacing w:before="0"/>
      <w:rPr>
        <w:lang w:eastAsia="zh-CN"/>
      </w:rPr>
    </w:pPr>
    <w:r w:rsidRPr="00084167">
      <w:rPr>
        <w:b/>
        <w:bCs/>
        <w:noProof/>
        <w:lang w:val="en-US"/>
      </w:rPr>
      <w:drawing>
        <wp:anchor distT="0" distB="0" distL="114300" distR="114300" simplePos="0" relativeHeight="251664384" behindDoc="1" locked="0" layoutInCell="1" allowOverlap="1" wp14:anchorId="24F3DE76" wp14:editId="3AAA1262">
          <wp:simplePos x="0" y="0"/>
          <wp:positionH relativeFrom="page">
            <wp:align>right</wp:align>
          </wp:positionH>
          <wp:positionV relativeFrom="paragraph">
            <wp:posOffset>-450438</wp:posOffset>
          </wp:positionV>
          <wp:extent cx="7556157" cy="1295148"/>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 Banner.png"/>
                  <pic:cNvPicPr/>
                </pic:nvPicPr>
                <pic:blipFill>
                  <a:blip r:embed="rId1">
                    <a:extLst>
                      <a:ext uri="{28A0092B-C50C-407E-A947-70E740481C1C}">
                        <a14:useLocalDpi xmlns:a14="http://schemas.microsoft.com/office/drawing/2010/main" val="0"/>
                      </a:ext>
                    </a:extLst>
                  </a:blip>
                  <a:stretch>
                    <a:fillRect/>
                  </a:stretch>
                </pic:blipFill>
                <pic:spPr>
                  <a:xfrm>
                    <a:off x="0" y="0"/>
                    <a:ext cx="7556157" cy="1295148"/>
                  </a:xfrm>
                  <a:prstGeom prst="rect">
                    <a:avLst/>
                  </a:prstGeom>
                </pic:spPr>
              </pic:pic>
            </a:graphicData>
          </a:graphic>
        </wp:anchor>
      </w:drawing>
    </w:r>
    <w:r w:rsidR="000C2F43" w:rsidRPr="00084167">
      <w:rPr>
        <w:b/>
        <w:bCs/>
        <w:noProof/>
        <w:lang w:val="en-US"/>
      </w:rPr>
      <mc:AlternateContent>
        <mc:Choice Requires="wps">
          <w:drawing>
            <wp:anchor distT="45720" distB="45720" distL="114300" distR="114300" simplePos="0" relativeHeight="251666432" behindDoc="0" locked="0" layoutInCell="1" allowOverlap="1" wp14:anchorId="29901850" wp14:editId="7D962777">
              <wp:simplePos x="0" y="0"/>
              <wp:positionH relativeFrom="page">
                <wp:posOffset>88900</wp:posOffset>
              </wp:positionH>
              <wp:positionV relativeFrom="paragraph">
                <wp:posOffset>582295</wp:posOffset>
              </wp:positionV>
              <wp:extent cx="7413625" cy="263525"/>
              <wp:effectExtent l="3175" t="1270" r="3175" b="190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B141FC"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901850" id="_x0000_t202" coordsize="21600,21600" o:spt="202" path="m,l,21600r21600,l21600,xe">
              <v:stroke joinstyle="miter"/>
              <v:path gradientshapeok="t" o:connecttype="rect"/>
            </v:shapetype>
            <v:shape id="Text Box 4" o:spid="_x0000_s1026" type="#_x0000_t202" style="position:absolute;margin-left:7pt;margin-top:45.85pt;width:583.75pt;height:20.75pt;z-index:251666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" filled="f" stroked="f">
              <v:textbox>
                <w:txbxContent>
                  <w:p w14:paraId="5DB141FC" w14:textId="77777777" w:rsidR="004A042F" w:rsidRDefault="004A042F"/>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63360" behindDoc="0" locked="0" layoutInCell="1" allowOverlap="1" wp14:anchorId="18017F52" wp14:editId="48B3E446">
              <wp:simplePos x="0" y="0"/>
              <wp:positionH relativeFrom="page">
                <wp:posOffset>114300</wp:posOffset>
              </wp:positionH>
              <wp:positionV relativeFrom="paragraph">
                <wp:posOffset>-358775</wp:posOffset>
              </wp:positionV>
              <wp:extent cx="7319645" cy="845820"/>
              <wp:effectExtent l="0" t="3175"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9645" cy="845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017F52" id="Text Box 3" o:spid="_x0000_s1027" type="#_x0000_t202" style="position:absolute;margin-left:9pt;margin-top:-28.25pt;width:576.35pt;height:66.6pt;z-index:251663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" filled="f" stroked="f">
              <v:textbo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59264" behindDoc="0" locked="0" layoutInCell="1" allowOverlap="1" wp14:anchorId="0C7E207E" wp14:editId="64A48748">
              <wp:simplePos x="0" y="0"/>
              <wp:positionH relativeFrom="page">
                <wp:posOffset>88900</wp:posOffset>
              </wp:positionH>
              <wp:positionV relativeFrom="paragraph">
                <wp:posOffset>582295</wp:posOffset>
              </wp:positionV>
              <wp:extent cx="7413625" cy="263525"/>
              <wp:effectExtent l="3175" t="1270" r="3175" b="190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10054"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7E207E" id="Text Box 2" o:spid="_x0000_s1028" type="#_x0000_t202" style="position:absolute;margin-left:7pt;margin-top:45.85pt;width:583.75pt;height:20.75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" filled="f" stroked="f">
              <v:textbox>
                <w:txbxContent>
                  <w:p w14:paraId="01810054" w14:textId="77777777" w:rsidR="004A042F" w:rsidRDefault="004A042F"/>
                </w:txbxContent>
              </v:textbox>
              <w10:wrap type="square" anchorx="page"/>
            </v:shape>
          </w:pict>
        </mc:Fallback>
      </mc:AlternateContent>
    </w:r>
    <w:r w:rsidR="00976B28">
      <w:rPr>
        <w:b/>
        <w:bCs/>
        <w:lang w:eastAsia="zh-CN"/>
      </w:rPr>
      <w:t>FINAL</w:t>
    </w:r>
    <w:r w:rsidR="00A45E65">
      <w:t xml:space="preserve"> TERMSHEE</w:t>
    </w:r>
    <w:r w:rsidR="009A52C3">
      <w:rPr>
        <w:rFonts w:hint="eastAsia"/>
        <w:lang w:eastAsia="zh-CN"/>
      </w:rPr>
      <w:t>T</w:t>
    </w:r>
  </w:p>
  <w:p w14:paraId="58D72456" w14:textId="77777777" w:rsidR="00A45E65" w:rsidRPr="00016766" w:rsidRDefault="00A45E65" w:rsidP="00016766">
    <w:pPr>
      <w:pStyle w:val="TSWarning"/>
      <w:spacing w:befor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956B7"/>
    <w:multiLevelType w:val="hybridMultilevel"/>
    <w:tmpl w:val="FD7078D8"/>
    <w:lvl w:ilvl="0" w:tplc="7AEAF2E4">
      <w:start w:val="1"/>
      <w:numFmt w:val="upperRoman"/>
      <w:pStyle w:val="TSHeading"/>
      <w:lvlText w:val="%1."/>
      <w:lvlJc w:val="righ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 w15:restartNumberingAfterBreak="0">
    <w:nsid w:val="30224DA6"/>
    <w:multiLevelType w:val="hybridMultilevel"/>
    <w:tmpl w:val="BAE2287E"/>
    <w:lvl w:ilvl="0" w:tplc="80722520">
      <w:start w:val="1"/>
      <w:numFmt w:val="lowerLetter"/>
      <w:lvlText w:val="(%1)"/>
      <w:lvlJc w:val="left"/>
      <w:pPr>
        <w:ind w:left="924" w:hanging="56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614E25"/>
    <w:multiLevelType w:val="hybridMultilevel"/>
    <w:tmpl w:val="4AEE0DB4"/>
    <w:lvl w:ilvl="0" w:tplc="3974789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774662"/>
    <w:multiLevelType w:val="hybridMultilevel"/>
    <w:tmpl w:val="F604C34E"/>
    <w:lvl w:ilvl="0" w:tplc="B464F5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B05B61"/>
    <w:multiLevelType w:val="hybridMultilevel"/>
    <w:tmpl w:val="19145552"/>
    <w:lvl w:ilvl="0" w:tplc="77FA1D7A">
      <w:start w:val="1"/>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6993B5D"/>
    <w:multiLevelType w:val="hybridMultilevel"/>
    <w:tmpl w:val="97CE2F70"/>
    <w:lvl w:ilvl="0" w:tplc="D616B26E">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777681">
    <w:abstractNumId w:val="0"/>
  </w:num>
  <w:num w:numId="2" w16cid:durableId="1302465623">
    <w:abstractNumId w:val="4"/>
  </w:num>
  <w:num w:numId="3" w16cid:durableId="2002390049">
    <w:abstractNumId w:val="3"/>
  </w:num>
  <w:num w:numId="4" w16cid:durableId="2094354229">
    <w:abstractNumId w:val="2"/>
  </w:num>
  <w:num w:numId="5" w16cid:durableId="1246115430">
    <w:abstractNumId w:val="1"/>
  </w:num>
  <w:num w:numId="6" w16cid:durableId="13586522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597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DE4"/>
    <w:rsid w:val="0000077D"/>
    <w:rsid w:val="00015B0E"/>
    <w:rsid w:val="00015C54"/>
    <w:rsid w:val="00015C72"/>
    <w:rsid w:val="00016766"/>
    <w:rsid w:val="0002328D"/>
    <w:rsid w:val="0002458D"/>
    <w:rsid w:val="00026755"/>
    <w:rsid w:val="00040352"/>
    <w:rsid w:val="00045573"/>
    <w:rsid w:val="00052D85"/>
    <w:rsid w:val="00062DE0"/>
    <w:rsid w:val="0006550F"/>
    <w:rsid w:val="00076652"/>
    <w:rsid w:val="0007700C"/>
    <w:rsid w:val="00077011"/>
    <w:rsid w:val="000776CD"/>
    <w:rsid w:val="000810D3"/>
    <w:rsid w:val="00083EA6"/>
    <w:rsid w:val="00084167"/>
    <w:rsid w:val="00086C7C"/>
    <w:rsid w:val="00090ABC"/>
    <w:rsid w:val="000A1A0B"/>
    <w:rsid w:val="000A275F"/>
    <w:rsid w:val="000A4C57"/>
    <w:rsid w:val="000B16C8"/>
    <w:rsid w:val="000B179F"/>
    <w:rsid w:val="000B4AEA"/>
    <w:rsid w:val="000B654E"/>
    <w:rsid w:val="000C1F26"/>
    <w:rsid w:val="000C2F43"/>
    <w:rsid w:val="000C5081"/>
    <w:rsid w:val="000C7068"/>
    <w:rsid w:val="000C7B80"/>
    <w:rsid w:val="000D1024"/>
    <w:rsid w:val="000D4E2A"/>
    <w:rsid w:val="000D61CB"/>
    <w:rsid w:val="000E0DAD"/>
    <w:rsid w:val="000E3805"/>
    <w:rsid w:val="000F6B0D"/>
    <w:rsid w:val="000F7FFA"/>
    <w:rsid w:val="00103144"/>
    <w:rsid w:val="0011367D"/>
    <w:rsid w:val="00120E04"/>
    <w:rsid w:val="00124C44"/>
    <w:rsid w:val="00134AC3"/>
    <w:rsid w:val="00141987"/>
    <w:rsid w:val="00142AA4"/>
    <w:rsid w:val="00143D90"/>
    <w:rsid w:val="00144B74"/>
    <w:rsid w:val="0014599F"/>
    <w:rsid w:val="00151203"/>
    <w:rsid w:val="00152B97"/>
    <w:rsid w:val="00156EC7"/>
    <w:rsid w:val="00157137"/>
    <w:rsid w:val="00162FEE"/>
    <w:rsid w:val="0016302A"/>
    <w:rsid w:val="00167213"/>
    <w:rsid w:val="00171C35"/>
    <w:rsid w:val="00174E74"/>
    <w:rsid w:val="00181B19"/>
    <w:rsid w:val="00191C94"/>
    <w:rsid w:val="00192BAA"/>
    <w:rsid w:val="00192CC9"/>
    <w:rsid w:val="001A2B8B"/>
    <w:rsid w:val="001A6E95"/>
    <w:rsid w:val="001B0615"/>
    <w:rsid w:val="001B20B2"/>
    <w:rsid w:val="001B45A5"/>
    <w:rsid w:val="001C1247"/>
    <w:rsid w:val="001D64F9"/>
    <w:rsid w:val="001F1154"/>
    <w:rsid w:val="001F4136"/>
    <w:rsid w:val="00202D30"/>
    <w:rsid w:val="00205791"/>
    <w:rsid w:val="00217EE2"/>
    <w:rsid w:val="00220133"/>
    <w:rsid w:val="00231829"/>
    <w:rsid w:val="00236225"/>
    <w:rsid w:val="002442F7"/>
    <w:rsid w:val="002451DD"/>
    <w:rsid w:val="00254C19"/>
    <w:rsid w:val="002628B3"/>
    <w:rsid w:val="002660B2"/>
    <w:rsid w:val="00281B3A"/>
    <w:rsid w:val="00281D5F"/>
    <w:rsid w:val="002861EF"/>
    <w:rsid w:val="00287171"/>
    <w:rsid w:val="0029664E"/>
    <w:rsid w:val="002A1EAA"/>
    <w:rsid w:val="002A3689"/>
    <w:rsid w:val="002A47B6"/>
    <w:rsid w:val="002B4C57"/>
    <w:rsid w:val="002B73B2"/>
    <w:rsid w:val="002C1DD4"/>
    <w:rsid w:val="002D27FC"/>
    <w:rsid w:val="002D6B19"/>
    <w:rsid w:val="002E5F54"/>
    <w:rsid w:val="0030203E"/>
    <w:rsid w:val="00307B16"/>
    <w:rsid w:val="00316CCE"/>
    <w:rsid w:val="00316F6E"/>
    <w:rsid w:val="00336C5A"/>
    <w:rsid w:val="003432F5"/>
    <w:rsid w:val="00352CD5"/>
    <w:rsid w:val="003540AE"/>
    <w:rsid w:val="0035455C"/>
    <w:rsid w:val="00356884"/>
    <w:rsid w:val="00363975"/>
    <w:rsid w:val="00382DEF"/>
    <w:rsid w:val="003841F3"/>
    <w:rsid w:val="0038500A"/>
    <w:rsid w:val="003A7197"/>
    <w:rsid w:val="003A7D10"/>
    <w:rsid w:val="003B3CB8"/>
    <w:rsid w:val="003B71A6"/>
    <w:rsid w:val="003C7285"/>
    <w:rsid w:val="003E0620"/>
    <w:rsid w:val="003E5D1F"/>
    <w:rsid w:val="003F4E08"/>
    <w:rsid w:val="00402EBD"/>
    <w:rsid w:val="00404044"/>
    <w:rsid w:val="00404740"/>
    <w:rsid w:val="00406AAB"/>
    <w:rsid w:val="00407D9E"/>
    <w:rsid w:val="004119D8"/>
    <w:rsid w:val="004201CB"/>
    <w:rsid w:val="0042118B"/>
    <w:rsid w:val="00430BC0"/>
    <w:rsid w:val="00433433"/>
    <w:rsid w:val="00434AD9"/>
    <w:rsid w:val="00435D2E"/>
    <w:rsid w:val="00436BEC"/>
    <w:rsid w:val="00454D69"/>
    <w:rsid w:val="00465B9A"/>
    <w:rsid w:val="00476B6D"/>
    <w:rsid w:val="00476E50"/>
    <w:rsid w:val="00477DEE"/>
    <w:rsid w:val="00481E9D"/>
    <w:rsid w:val="00482D3F"/>
    <w:rsid w:val="0048518A"/>
    <w:rsid w:val="0049135C"/>
    <w:rsid w:val="004A042F"/>
    <w:rsid w:val="004A2EEC"/>
    <w:rsid w:val="004B4C5B"/>
    <w:rsid w:val="004C0DAA"/>
    <w:rsid w:val="004C5968"/>
    <w:rsid w:val="004D39E3"/>
    <w:rsid w:val="004E52E9"/>
    <w:rsid w:val="00510EB1"/>
    <w:rsid w:val="005133DB"/>
    <w:rsid w:val="00516C66"/>
    <w:rsid w:val="005203A9"/>
    <w:rsid w:val="00523A43"/>
    <w:rsid w:val="00524417"/>
    <w:rsid w:val="00525EFF"/>
    <w:rsid w:val="00526F4B"/>
    <w:rsid w:val="005347A5"/>
    <w:rsid w:val="005512F6"/>
    <w:rsid w:val="00557DD7"/>
    <w:rsid w:val="005629EE"/>
    <w:rsid w:val="00564338"/>
    <w:rsid w:val="00567EBB"/>
    <w:rsid w:val="00570013"/>
    <w:rsid w:val="00572599"/>
    <w:rsid w:val="0057307D"/>
    <w:rsid w:val="00577BE0"/>
    <w:rsid w:val="00584156"/>
    <w:rsid w:val="005A1BA8"/>
    <w:rsid w:val="005B7B6E"/>
    <w:rsid w:val="005C47F7"/>
    <w:rsid w:val="005D4A56"/>
    <w:rsid w:val="005E2AD4"/>
    <w:rsid w:val="005E2C3D"/>
    <w:rsid w:val="005F0E6B"/>
    <w:rsid w:val="006010B6"/>
    <w:rsid w:val="00615986"/>
    <w:rsid w:val="0062137B"/>
    <w:rsid w:val="00624624"/>
    <w:rsid w:val="006311F8"/>
    <w:rsid w:val="00635188"/>
    <w:rsid w:val="0063571A"/>
    <w:rsid w:val="00645105"/>
    <w:rsid w:val="00653D85"/>
    <w:rsid w:val="00655703"/>
    <w:rsid w:val="00656B74"/>
    <w:rsid w:val="00657E8C"/>
    <w:rsid w:val="00663DE4"/>
    <w:rsid w:val="006715D6"/>
    <w:rsid w:val="006720BD"/>
    <w:rsid w:val="00675800"/>
    <w:rsid w:val="00680DB5"/>
    <w:rsid w:val="00681C2A"/>
    <w:rsid w:val="006825DD"/>
    <w:rsid w:val="00684C54"/>
    <w:rsid w:val="00686EF3"/>
    <w:rsid w:val="00690887"/>
    <w:rsid w:val="00690A4C"/>
    <w:rsid w:val="006963BC"/>
    <w:rsid w:val="006A02C5"/>
    <w:rsid w:val="006A6626"/>
    <w:rsid w:val="006A6806"/>
    <w:rsid w:val="006A7153"/>
    <w:rsid w:val="006B13B5"/>
    <w:rsid w:val="006B1B80"/>
    <w:rsid w:val="006B6F4B"/>
    <w:rsid w:val="006C5EEC"/>
    <w:rsid w:val="006D2B82"/>
    <w:rsid w:val="006D46DD"/>
    <w:rsid w:val="006D4C58"/>
    <w:rsid w:val="006E331D"/>
    <w:rsid w:val="006E6337"/>
    <w:rsid w:val="007336BD"/>
    <w:rsid w:val="00737C5C"/>
    <w:rsid w:val="00750629"/>
    <w:rsid w:val="00764F74"/>
    <w:rsid w:val="00770FA1"/>
    <w:rsid w:val="00795B45"/>
    <w:rsid w:val="007A2805"/>
    <w:rsid w:val="007A3360"/>
    <w:rsid w:val="007A6A20"/>
    <w:rsid w:val="007B1808"/>
    <w:rsid w:val="007C727C"/>
    <w:rsid w:val="007E3588"/>
    <w:rsid w:val="007F38DC"/>
    <w:rsid w:val="007F3BF8"/>
    <w:rsid w:val="007F40F9"/>
    <w:rsid w:val="008070D7"/>
    <w:rsid w:val="00820551"/>
    <w:rsid w:val="008206FC"/>
    <w:rsid w:val="008240D4"/>
    <w:rsid w:val="008311C9"/>
    <w:rsid w:val="00846937"/>
    <w:rsid w:val="00857483"/>
    <w:rsid w:val="0086485A"/>
    <w:rsid w:val="008736D6"/>
    <w:rsid w:val="008807C4"/>
    <w:rsid w:val="00887957"/>
    <w:rsid w:val="00891F66"/>
    <w:rsid w:val="00892457"/>
    <w:rsid w:val="00892AA3"/>
    <w:rsid w:val="008A0BD4"/>
    <w:rsid w:val="008A0FB3"/>
    <w:rsid w:val="008A3744"/>
    <w:rsid w:val="008A7780"/>
    <w:rsid w:val="008B3C90"/>
    <w:rsid w:val="008B74C7"/>
    <w:rsid w:val="008B7AFC"/>
    <w:rsid w:val="008D0592"/>
    <w:rsid w:val="008D6D8F"/>
    <w:rsid w:val="008D7388"/>
    <w:rsid w:val="008E41C4"/>
    <w:rsid w:val="008E67B1"/>
    <w:rsid w:val="008F1F2E"/>
    <w:rsid w:val="00906A58"/>
    <w:rsid w:val="00911F14"/>
    <w:rsid w:val="009138BE"/>
    <w:rsid w:val="00920E71"/>
    <w:rsid w:val="009319C2"/>
    <w:rsid w:val="009345C0"/>
    <w:rsid w:val="009351E1"/>
    <w:rsid w:val="00953CEA"/>
    <w:rsid w:val="00954E16"/>
    <w:rsid w:val="009557F4"/>
    <w:rsid w:val="00965879"/>
    <w:rsid w:val="00973EF7"/>
    <w:rsid w:val="0097679C"/>
    <w:rsid w:val="00976B28"/>
    <w:rsid w:val="0097795F"/>
    <w:rsid w:val="00985FFB"/>
    <w:rsid w:val="00995900"/>
    <w:rsid w:val="009A2D35"/>
    <w:rsid w:val="009A52C3"/>
    <w:rsid w:val="009B788A"/>
    <w:rsid w:val="009D46D4"/>
    <w:rsid w:val="009E03B9"/>
    <w:rsid w:val="009E0B8D"/>
    <w:rsid w:val="009E7CBF"/>
    <w:rsid w:val="00A04645"/>
    <w:rsid w:val="00A10ACF"/>
    <w:rsid w:val="00A217CD"/>
    <w:rsid w:val="00A31582"/>
    <w:rsid w:val="00A31707"/>
    <w:rsid w:val="00A33226"/>
    <w:rsid w:val="00A40E38"/>
    <w:rsid w:val="00A45E65"/>
    <w:rsid w:val="00A616A5"/>
    <w:rsid w:val="00A62B76"/>
    <w:rsid w:val="00A679F3"/>
    <w:rsid w:val="00A67BFA"/>
    <w:rsid w:val="00A70A58"/>
    <w:rsid w:val="00A7225B"/>
    <w:rsid w:val="00A84559"/>
    <w:rsid w:val="00A92F5C"/>
    <w:rsid w:val="00A94830"/>
    <w:rsid w:val="00A95903"/>
    <w:rsid w:val="00AA1786"/>
    <w:rsid w:val="00AA3998"/>
    <w:rsid w:val="00AA5C8E"/>
    <w:rsid w:val="00AB5A3D"/>
    <w:rsid w:val="00AB5FF9"/>
    <w:rsid w:val="00AC1F0D"/>
    <w:rsid w:val="00AC41E0"/>
    <w:rsid w:val="00AD564F"/>
    <w:rsid w:val="00AE43D6"/>
    <w:rsid w:val="00AE6829"/>
    <w:rsid w:val="00AE6DAA"/>
    <w:rsid w:val="00AF07F4"/>
    <w:rsid w:val="00B04401"/>
    <w:rsid w:val="00B11C2D"/>
    <w:rsid w:val="00B11FA9"/>
    <w:rsid w:val="00B1486E"/>
    <w:rsid w:val="00B15853"/>
    <w:rsid w:val="00B20E4A"/>
    <w:rsid w:val="00B27A61"/>
    <w:rsid w:val="00B36202"/>
    <w:rsid w:val="00B370A3"/>
    <w:rsid w:val="00B37AFC"/>
    <w:rsid w:val="00B47EC5"/>
    <w:rsid w:val="00B61A2D"/>
    <w:rsid w:val="00B655DB"/>
    <w:rsid w:val="00B70EE7"/>
    <w:rsid w:val="00B81EB7"/>
    <w:rsid w:val="00B820F6"/>
    <w:rsid w:val="00BB161B"/>
    <w:rsid w:val="00BB3831"/>
    <w:rsid w:val="00BC2549"/>
    <w:rsid w:val="00BC6A86"/>
    <w:rsid w:val="00BD0F66"/>
    <w:rsid w:val="00BD279E"/>
    <w:rsid w:val="00BD2FC9"/>
    <w:rsid w:val="00BD4054"/>
    <w:rsid w:val="00BE4F70"/>
    <w:rsid w:val="00BE61D9"/>
    <w:rsid w:val="00BF4A86"/>
    <w:rsid w:val="00C1102D"/>
    <w:rsid w:val="00C26473"/>
    <w:rsid w:val="00C27D93"/>
    <w:rsid w:val="00C30670"/>
    <w:rsid w:val="00C32D6C"/>
    <w:rsid w:val="00C3559B"/>
    <w:rsid w:val="00C4736D"/>
    <w:rsid w:val="00C571E0"/>
    <w:rsid w:val="00C61C70"/>
    <w:rsid w:val="00C61D1C"/>
    <w:rsid w:val="00C73DF6"/>
    <w:rsid w:val="00C7418F"/>
    <w:rsid w:val="00C8374D"/>
    <w:rsid w:val="00C8450A"/>
    <w:rsid w:val="00C87DA5"/>
    <w:rsid w:val="00C91FB0"/>
    <w:rsid w:val="00C92B0A"/>
    <w:rsid w:val="00C934EC"/>
    <w:rsid w:val="00CA2D42"/>
    <w:rsid w:val="00CB124B"/>
    <w:rsid w:val="00CB2963"/>
    <w:rsid w:val="00CB3A1E"/>
    <w:rsid w:val="00CC2BB0"/>
    <w:rsid w:val="00CC5C5A"/>
    <w:rsid w:val="00CD7ABD"/>
    <w:rsid w:val="00CE3C0A"/>
    <w:rsid w:val="00CF55D5"/>
    <w:rsid w:val="00D0132D"/>
    <w:rsid w:val="00D04D40"/>
    <w:rsid w:val="00D10F9A"/>
    <w:rsid w:val="00D16C15"/>
    <w:rsid w:val="00D34D6C"/>
    <w:rsid w:val="00D36A3A"/>
    <w:rsid w:val="00D46B31"/>
    <w:rsid w:val="00D46C8A"/>
    <w:rsid w:val="00D61B8F"/>
    <w:rsid w:val="00D62751"/>
    <w:rsid w:val="00D63F25"/>
    <w:rsid w:val="00D663E2"/>
    <w:rsid w:val="00D7004D"/>
    <w:rsid w:val="00D71DBE"/>
    <w:rsid w:val="00D746FC"/>
    <w:rsid w:val="00D80941"/>
    <w:rsid w:val="00D93161"/>
    <w:rsid w:val="00D94E07"/>
    <w:rsid w:val="00D97EA5"/>
    <w:rsid w:val="00DA6FB3"/>
    <w:rsid w:val="00DB2BF5"/>
    <w:rsid w:val="00DB3F33"/>
    <w:rsid w:val="00DC43C2"/>
    <w:rsid w:val="00DC6E87"/>
    <w:rsid w:val="00DD548F"/>
    <w:rsid w:val="00DD6EB5"/>
    <w:rsid w:val="00DF6D50"/>
    <w:rsid w:val="00E00527"/>
    <w:rsid w:val="00E01E9A"/>
    <w:rsid w:val="00E35587"/>
    <w:rsid w:val="00E53063"/>
    <w:rsid w:val="00E539E7"/>
    <w:rsid w:val="00E5529F"/>
    <w:rsid w:val="00E71D6F"/>
    <w:rsid w:val="00E77A24"/>
    <w:rsid w:val="00E80E16"/>
    <w:rsid w:val="00E81911"/>
    <w:rsid w:val="00E82322"/>
    <w:rsid w:val="00E87A5D"/>
    <w:rsid w:val="00E87CE0"/>
    <w:rsid w:val="00E87E7D"/>
    <w:rsid w:val="00E95B88"/>
    <w:rsid w:val="00E9636D"/>
    <w:rsid w:val="00EA4EED"/>
    <w:rsid w:val="00EB2643"/>
    <w:rsid w:val="00ED2539"/>
    <w:rsid w:val="00EE2759"/>
    <w:rsid w:val="00EE3E5A"/>
    <w:rsid w:val="00EE545D"/>
    <w:rsid w:val="00EF1910"/>
    <w:rsid w:val="00EF3007"/>
    <w:rsid w:val="00F0702D"/>
    <w:rsid w:val="00F13EA6"/>
    <w:rsid w:val="00F14558"/>
    <w:rsid w:val="00F312A2"/>
    <w:rsid w:val="00F3188A"/>
    <w:rsid w:val="00F36500"/>
    <w:rsid w:val="00F37049"/>
    <w:rsid w:val="00F4049F"/>
    <w:rsid w:val="00F44D77"/>
    <w:rsid w:val="00F51E35"/>
    <w:rsid w:val="00F56EFE"/>
    <w:rsid w:val="00F77166"/>
    <w:rsid w:val="00F82736"/>
    <w:rsid w:val="00F92034"/>
    <w:rsid w:val="00FA4948"/>
    <w:rsid w:val="00FA6002"/>
    <w:rsid w:val="00FC1918"/>
    <w:rsid w:val="00FC1D75"/>
    <w:rsid w:val="00FC1EDB"/>
    <w:rsid w:val="00FC2033"/>
    <w:rsid w:val="00FD57D9"/>
    <w:rsid w:val="00FD5DEC"/>
    <w:rsid w:val="00FD7B62"/>
    <w:rsid w:val="00FE442D"/>
    <w:rsid w:val="00FF04E5"/>
    <w:rsid w:val="00FF19A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59745"/>
    <o:shapelayout v:ext="edit">
      <o:idmap v:ext="edit" data="1"/>
    </o:shapelayout>
  </w:shapeDefaults>
  <w:decimalSymbol w:val="."/>
  <w:listSeparator w:val=","/>
  <w14:docId w14:val="6E2B5E6B"/>
  <w15:chartTrackingRefBased/>
  <w15:docId w15:val="{F28E5CBC-A3C3-485F-80F9-215F4DED8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D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link w:val="BodyChar"/>
    <w:uiPriority w:val="99"/>
    <w:pPr>
      <w:spacing w:before="200" w:after="0" w:line="276" w:lineRule="auto"/>
      <w:jc w:val="both"/>
    </w:pPr>
    <w:rPr>
      <w:rFonts w:ascii="Arial" w:eastAsia="Times New Roman" w:hAnsi="Arial" w:cs="Times New Roman"/>
      <w:sz w:val="20"/>
      <w:lang w:val="en-US"/>
    </w:rPr>
  </w:style>
  <w:style w:type="character" w:customStyle="1" w:styleId="BodyChar">
    <w:name w:val="Body Char"/>
    <w:basedOn w:val="DefaultParagraphFont"/>
    <w:link w:val="Body"/>
    <w:uiPriority w:val="99"/>
    <w:rPr>
      <w:rFonts w:ascii="Arial" w:eastAsia="Times New Roman" w:hAnsi="Arial" w:cs="Times New Roman"/>
      <w:sz w:val="20"/>
      <w:lang w:val="en-US"/>
    </w:rPr>
  </w:style>
  <w:style w:type="paragraph" w:customStyle="1" w:styleId="TSHeading">
    <w:name w:val="TS Heading"/>
    <w:basedOn w:val="Body"/>
    <w:link w:val="TSHeadingChar"/>
    <w:qFormat/>
    <w:pPr>
      <w:numPr>
        <w:numId w:val="1"/>
      </w:numPr>
      <w:ind w:left="709" w:right="15" w:hanging="425"/>
      <w:jc w:val="left"/>
    </w:pPr>
    <w:rPr>
      <w:rFonts w:ascii="HelveticaNeueLT Std" w:hAnsi="HelveticaNeueLT Std" w:cs="Arial"/>
      <w:color w:val="2E547D"/>
      <w:sz w:val="32"/>
      <w:szCs w:val="18"/>
    </w:rPr>
  </w:style>
  <w:style w:type="character" w:customStyle="1" w:styleId="TSHeadingChar">
    <w:name w:val="TS Heading Char"/>
    <w:basedOn w:val="BodyChar"/>
    <w:link w:val="TSHeading"/>
    <w:rPr>
      <w:rFonts w:ascii="HelveticaNeueLT Std" w:eastAsia="Times New Roman" w:hAnsi="HelveticaNeueLT Std" w:cs="Arial"/>
      <w:color w:val="2E547D"/>
      <w:sz w:val="32"/>
      <w:szCs w:val="18"/>
      <w:lang w:val="en-US"/>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SSmallTable">
    <w:name w:val="TS Small Table"/>
    <w:basedOn w:val="Body"/>
    <w:link w:val="TSSmallTableChar"/>
    <w:qFormat/>
    <w:pPr>
      <w:spacing w:before="0" w:after="40" w:line="240" w:lineRule="auto"/>
      <w:ind w:right="17"/>
    </w:pPr>
    <w:rPr>
      <w:rFonts w:ascii="HelveticaNeueLT Std" w:hAnsi="HelveticaNeueLT Std" w:cs="Arial"/>
      <w:sz w:val="16"/>
      <w:szCs w:val="18"/>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TSSmallTableChar">
    <w:name w:val="TS Small Table Char"/>
    <w:basedOn w:val="BodyChar"/>
    <w:link w:val="TSSmallTable"/>
    <w:rPr>
      <w:rFonts w:ascii="HelveticaNeueLT Std" w:eastAsia="Times New Roman" w:hAnsi="HelveticaNeueLT Std" w:cs="Arial"/>
      <w:sz w:val="16"/>
      <w:szCs w:val="18"/>
      <w:lang w:val="en-US"/>
    </w:rPr>
  </w:style>
  <w:style w:type="table" w:customStyle="1" w:styleId="TSTableSmall">
    <w:name w:val="TS Table Small"/>
    <w:basedOn w:val="TableNormal"/>
    <w:uiPriority w:val="99"/>
    <w:pPr>
      <w:spacing w:after="0" w:line="240" w:lineRule="auto"/>
    </w:pPr>
    <w:tblPr/>
  </w:style>
  <w:style w:type="table" w:customStyle="1" w:styleId="TSTableMain">
    <w:name w:val="TS Table Main"/>
    <w:basedOn w:val="ListTable3-Accent2"/>
    <w:uiPriority w:val="99"/>
    <w:rPr>
      <w:rFonts w:ascii="HelveticaNeueLT Std" w:hAnsi="HelveticaNeueLT Std"/>
      <w:sz w:val="16"/>
      <w:szCs w:val="20"/>
      <w:lang w:val="en-US" w:eastAsia="en-GB"/>
    </w:rPr>
    <w:tblPr/>
    <w:tcPr>
      <w:shd w:val="clear" w:color="auto" w:fill="auto"/>
    </w:tcPr>
    <w:tblStylePr w:type="firstRow">
      <w:pPr>
        <w:jc w:val="left"/>
      </w:pPr>
      <w:rPr>
        <w:b/>
        <w:bCs/>
        <w:color w:val="FFFFFF" w:themeColor="background1"/>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hemeFill="background1"/>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table" w:styleId="ListTable3-Accent2">
    <w:name w:val="List Table 3 Accent 2"/>
    <w:basedOn w:val="TableNormal"/>
    <w:uiPriority w:val="48"/>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customStyle="1" w:styleId="TSPreamble">
    <w:name w:val="TS Preamble"/>
    <w:basedOn w:val="Body"/>
    <w:link w:val="TSPreambleChar"/>
    <w:qFormat/>
    <w:pPr>
      <w:spacing w:line="240" w:lineRule="auto"/>
      <w:ind w:right="17"/>
    </w:pPr>
    <w:rPr>
      <w:rFonts w:ascii="HelveticaNeueLT Std" w:hAnsi="HelveticaNeueLT Std" w:cs="Arial"/>
      <w:sz w:val="16"/>
      <w:szCs w:val="18"/>
    </w:rPr>
  </w:style>
  <w:style w:type="character" w:customStyle="1" w:styleId="TSPreambleChar">
    <w:name w:val="TS Preamble Char"/>
    <w:basedOn w:val="BodyChar"/>
    <w:link w:val="TSPreamble"/>
    <w:rPr>
      <w:rFonts w:ascii="HelveticaNeueLT Std" w:eastAsia="Times New Roman" w:hAnsi="HelveticaNeueLT Std" w:cs="Arial"/>
      <w:sz w:val="16"/>
      <w:szCs w:val="18"/>
      <w:lang w:val="en-US"/>
    </w:rPr>
  </w:style>
  <w:style w:type="table" w:customStyle="1" w:styleId="TSTableUnderlyings">
    <w:name w:val="TS Table Underlyings"/>
    <w:basedOn w:val="ListTable3-Accent2"/>
    <w:uiPriority w:val="99"/>
    <w:rPr>
      <w:rFonts w:ascii="HelveticaNeueLT Std" w:hAnsi="HelveticaNeueLT Std"/>
      <w:sz w:val="16"/>
    </w:rPr>
    <w:tblPr>
      <w:tblBorders>
        <w:top w:val="none" w:sz="0" w:space="0" w:color="auto"/>
        <w:left w:val="none" w:sz="0" w:space="0" w:color="auto"/>
        <w:bottom w:val="none" w:sz="0" w:space="0" w:color="auto"/>
        <w:right w:val="none" w:sz="0" w:space="0" w:color="auto"/>
      </w:tblBorders>
    </w:tblPr>
    <w:tblStylePr w:type="firstRow">
      <w:rPr>
        <w:b/>
        <w:bCs/>
        <w:color w:val="FFFFFF" w:themeColor="background1"/>
      </w:rPr>
      <w:tblPr/>
      <w:tcPr>
        <w:tcBorders>
          <w:top w:val="single" w:sz="4" w:space="0" w:color="2E547D"/>
          <w:left w:val="nil"/>
          <w:bottom w:val="single" w:sz="4" w:space="0" w:color="2E547D"/>
          <w:right w:val="nil"/>
          <w:insideH w:val="nil"/>
          <w:insideV w:val="nil"/>
        </w:tcBorders>
        <w:shd w:val="clear" w:color="auto" w:fill="2E547D"/>
      </w:tcPr>
    </w:tblStylePr>
    <w:tblStylePr w:type="lastRow">
      <w:rPr>
        <w:b w:val="0"/>
        <w:bCs/>
      </w:rPr>
      <w:tblPr/>
      <w:tcPr>
        <w:tcBorders>
          <w:top w:val="single" w:sz="4" w:space="0" w:color="2E547D"/>
          <w:left w:val="nil"/>
          <w:bottom w:val="single" w:sz="4" w:space="0" w:color="2E547D"/>
          <w:right w:val="nil"/>
          <w:insideH w:val="nil"/>
          <w:insideV w:val="nil"/>
          <w:tl2br w:val="nil"/>
          <w:tr2bl w:val="nil"/>
        </w:tcBorders>
        <w:shd w:val="clear" w:color="auto" w:fill="FFFFFF" w:themeFill="background1"/>
      </w:tcPr>
    </w:tblStylePr>
    <w:tblStylePr w:type="firstCol">
      <w:rPr>
        <w:b w:val="0"/>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val="0"/>
        <w:bCs/>
      </w:rPr>
      <w:tblPr/>
      <w:tcPr>
        <w:tcBorders>
          <w:top w:val="nil"/>
          <w:left w:val="nil"/>
          <w:bottom w:val="nil"/>
          <w:right w:val="nil"/>
          <w:insideH w:val="single" w:sz="4" w:space="0" w:color="2E547D"/>
          <w:insideV w:val="nil"/>
          <w:tl2br w:val="nil"/>
          <w:tr2bl w:val="nil"/>
        </w:tcBorders>
        <w:shd w:val="clear" w:color="auto" w:fill="FFFFFF" w:themeFill="background1"/>
      </w:tcPr>
    </w:tblStylePr>
    <w:tblStylePr w:type="band1Vert">
      <w:rPr>
        <w:b w:val="0"/>
      </w:rPr>
      <w:tblPr/>
      <w:tcPr>
        <w:tcBorders>
          <w:top w:val="nil"/>
          <w:left w:val="nil"/>
          <w:bottom w:val="nil"/>
          <w:right w:val="nil"/>
          <w:insideH w:val="single" w:sz="4" w:space="0" w:color="2E547D"/>
          <w:insideV w:val="nil"/>
          <w:tl2br w:val="nil"/>
          <w:tr2bl w:val="nil"/>
        </w:tcBorders>
      </w:tcPr>
    </w:tblStylePr>
    <w:tblStylePr w:type="band2Vert">
      <w:rPr>
        <w:b w:val="0"/>
      </w:rPr>
      <w:tblPr/>
      <w:tcPr>
        <w:tcBorders>
          <w:top w:val="nil"/>
          <w:left w:val="nil"/>
          <w:bottom w:val="single" w:sz="4" w:space="0" w:color="2E547D"/>
          <w:right w:val="nil"/>
          <w:insideH w:val="single" w:sz="4" w:space="0" w:color="2E547D"/>
          <w:insideV w:val="nil"/>
          <w:tl2br w:val="nil"/>
          <w:tr2bl w:val="nil"/>
        </w:tcBorders>
      </w:tcPr>
    </w:tblStylePr>
    <w:tblStylePr w:type="band1Horz">
      <w:rPr>
        <w:b w:val="0"/>
      </w:rPr>
      <w:tblPr/>
      <w:tcPr>
        <w:tcBorders>
          <w:top w:val="nil"/>
          <w:left w:val="nil"/>
          <w:bottom w:val="single" w:sz="4" w:space="0" w:color="2E547D"/>
          <w:right w:val="nil"/>
          <w:insideH w:val="single" w:sz="4" w:space="0" w:color="2E547D"/>
          <w:insideV w:val="nil"/>
          <w:tl2br w:val="nil"/>
          <w:tr2bl w:val="nil"/>
        </w:tcBorders>
      </w:tcPr>
    </w:tblStylePr>
    <w:tblStylePr w:type="band2Horz">
      <w:rPr>
        <w:b w:val="0"/>
      </w:rPr>
      <w:tblPr/>
      <w:tcPr>
        <w:tcBorders>
          <w:top w:val="single" w:sz="4" w:space="0" w:color="2E547D"/>
          <w:left w:val="nil"/>
          <w:bottom w:val="single" w:sz="4" w:space="0" w:color="2E547D"/>
          <w:right w:val="nil"/>
          <w:insideH w:val="single" w:sz="4" w:space="0" w:color="2E547D"/>
          <w:insideV w:val="nil"/>
          <w:tl2br w:val="nil"/>
          <w:tr2bl w:val="nil"/>
        </w:tcBorders>
      </w:tcPr>
    </w:tblStylePr>
    <w:tblStylePr w:type="neCell">
      <w:rPr>
        <w:b/>
      </w:rPr>
      <w:tblPr/>
      <w:tcPr>
        <w:tcBorders>
          <w:top w:val="single" w:sz="4" w:space="0" w:color="2E547D"/>
          <w:left w:val="nil"/>
          <w:bottom w:val="single" w:sz="4" w:space="0" w:color="2E547D"/>
          <w:right w:val="nil"/>
          <w:insideH w:val="nil"/>
          <w:insideV w:val="nil"/>
          <w:tl2br w:val="nil"/>
          <w:tr2bl w:val="nil"/>
        </w:tcBorders>
      </w:tcPr>
    </w:tblStylePr>
    <w:tblStylePr w:type="nwCell">
      <w:rPr>
        <w:b/>
      </w:rPr>
      <w:tblPr/>
      <w:tcPr>
        <w:tcBorders>
          <w:top w:val="single" w:sz="4" w:space="0" w:color="2E547D"/>
          <w:left w:val="nil"/>
          <w:bottom w:val="single" w:sz="4" w:space="0" w:color="2E547D"/>
          <w:right w:val="nil"/>
          <w:insideH w:val="nil"/>
          <w:insideV w:val="nil"/>
          <w:tl2br w:val="nil"/>
          <w:tr2bl w:val="nil"/>
        </w:tcBorders>
      </w:tcPr>
    </w:tblStylePr>
    <w:tblStylePr w:type="seCell">
      <w:rPr>
        <w:b w:val="0"/>
      </w:rPr>
      <w:tblPr/>
      <w:tcPr>
        <w:tcBorders>
          <w:top w:val="single" w:sz="4" w:space="0" w:color="2E547D"/>
          <w:left w:val="nil"/>
          <w:bottom w:val="single" w:sz="4" w:space="0" w:color="2E547D"/>
          <w:right w:val="nil"/>
          <w:insideH w:val="nil"/>
          <w:insideV w:val="nil"/>
          <w:tl2br w:val="nil"/>
          <w:tr2bl w:val="nil"/>
        </w:tcBorders>
      </w:tcPr>
    </w:tblStylePr>
    <w:tblStylePr w:type="swCell">
      <w:rPr>
        <w:b w:val="0"/>
      </w:rPr>
      <w:tblPr/>
      <w:tcPr>
        <w:tcBorders>
          <w:top w:val="single" w:sz="4" w:space="0" w:color="2E547D"/>
          <w:left w:val="nil"/>
          <w:bottom w:val="single" w:sz="4" w:space="0" w:color="2E547D"/>
          <w:right w:val="nil"/>
          <w:insideH w:val="nil"/>
          <w:insideV w:val="nil"/>
          <w:tl2br w:val="nil"/>
          <w:tr2bl w:val="nil"/>
        </w:tcBorders>
      </w:tcPr>
    </w:tblStylePr>
  </w:style>
  <w:style w:type="paragraph" w:customStyle="1" w:styleId="TSMainTable">
    <w:name w:val="TSMainTable"/>
    <w:basedOn w:val="Body"/>
    <w:link w:val="TSMainTableChar"/>
    <w:pPr>
      <w:ind w:right="15"/>
    </w:pPr>
    <w:rPr>
      <w:rFonts w:ascii="HelveticaNeueLT Std" w:hAnsi="HelveticaNeueLT Std" w:cs="Arial"/>
      <w:sz w:val="18"/>
      <w:szCs w:val="18"/>
      <w:lang w:val="de-DE"/>
    </w:rPr>
  </w:style>
  <w:style w:type="paragraph" w:customStyle="1" w:styleId="TSTableBody">
    <w:name w:val="TS Table Body"/>
    <w:basedOn w:val="Body"/>
    <w:link w:val="TSTableBodyChar"/>
    <w:qFormat/>
    <w:pPr>
      <w:spacing w:before="60" w:after="60"/>
      <w:ind w:right="17"/>
    </w:pPr>
    <w:rPr>
      <w:rFonts w:ascii="HelveticaNeueLT Std" w:hAnsi="HelveticaNeueLT Std" w:cs="Arial"/>
      <w:sz w:val="18"/>
      <w:szCs w:val="18"/>
    </w:rPr>
  </w:style>
  <w:style w:type="character" w:customStyle="1" w:styleId="TSMainTableChar">
    <w:name w:val="TSMainTable Char"/>
    <w:basedOn w:val="BodyChar"/>
    <w:link w:val="TSMainTable"/>
    <w:rPr>
      <w:rFonts w:ascii="HelveticaNeueLT Std" w:eastAsia="Times New Roman" w:hAnsi="HelveticaNeueLT Std" w:cs="Arial"/>
      <w:sz w:val="18"/>
      <w:szCs w:val="18"/>
      <w:lang w:val="de-DE"/>
    </w:rPr>
  </w:style>
  <w:style w:type="character" w:customStyle="1" w:styleId="TSTableBodyChar">
    <w:name w:val="TS Table Body Char"/>
    <w:basedOn w:val="TSMainTableChar"/>
    <w:link w:val="TSTableBody"/>
    <w:rPr>
      <w:rFonts w:ascii="HelveticaNeueLT Std" w:eastAsia="Times New Roman" w:hAnsi="HelveticaNeueLT Std" w:cs="Arial"/>
      <w:sz w:val="18"/>
      <w:szCs w:val="18"/>
      <w:lang w:val="en-US"/>
    </w:rPr>
  </w:style>
  <w:style w:type="paragraph" w:customStyle="1" w:styleId="TSTableHeading">
    <w:name w:val="TS Table Heading"/>
    <w:basedOn w:val="TSTableBody"/>
    <w:link w:val="TSTableHeadingChar"/>
    <w:qFormat/>
    <w:pPr>
      <w:jc w:val="left"/>
    </w:pPr>
    <w:rPr>
      <w:b/>
      <w:bCs/>
    </w:rPr>
  </w:style>
  <w:style w:type="paragraph" w:customStyle="1" w:styleId="TSTableTitle">
    <w:name w:val="TS Table Title"/>
    <w:basedOn w:val="Body"/>
    <w:link w:val="TSTableTitleChar"/>
    <w:qFormat/>
    <w:pPr>
      <w:spacing w:before="40" w:after="40"/>
      <w:ind w:left="28" w:right="17"/>
    </w:pPr>
    <w:rPr>
      <w:rFonts w:ascii="HelveticaNeueLT Std" w:hAnsi="HelveticaNeueLT Std" w:cs="Arial"/>
      <w:b/>
      <w:bCs/>
      <w:color w:val="FFFFFF" w:themeColor="background1"/>
      <w:sz w:val="18"/>
      <w:szCs w:val="18"/>
    </w:rPr>
  </w:style>
  <w:style w:type="character" w:customStyle="1" w:styleId="TSTableHeadingChar">
    <w:name w:val="TS Table Heading Char"/>
    <w:basedOn w:val="TSTableBodyChar"/>
    <w:link w:val="TSTableHeading"/>
    <w:rPr>
      <w:rFonts w:ascii="HelveticaNeueLT Std" w:eastAsia="Times New Roman" w:hAnsi="HelveticaNeueLT Std" w:cs="Arial"/>
      <w:b/>
      <w:bCs/>
      <w:sz w:val="18"/>
      <w:szCs w:val="18"/>
      <w:lang w:val="en-US"/>
    </w:rPr>
  </w:style>
  <w:style w:type="paragraph" w:customStyle="1" w:styleId="TSTableBullet">
    <w:name w:val="TS Table Bullet"/>
    <w:basedOn w:val="TSTableBody"/>
    <w:link w:val="TSTableBulletChar"/>
    <w:qFormat/>
    <w:pPr>
      <w:ind w:left="567" w:hanging="567"/>
    </w:pPr>
  </w:style>
  <w:style w:type="character" w:customStyle="1" w:styleId="TSTableTitleChar">
    <w:name w:val="TS Table Title Char"/>
    <w:basedOn w:val="BodyChar"/>
    <w:link w:val="TSTableTitle"/>
    <w:rPr>
      <w:rFonts w:ascii="HelveticaNeueLT Std" w:eastAsia="Times New Roman" w:hAnsi="HelveticaNeueLT Std" w:cs="Arial"/>
      <w:b/>
      <w:bCs/>
      <w:color w:val="FFFFFF" w:themeColor="background1"/>
      <w:sz w:val="18"/>
      <w:szCs w:val="18"/>
      <w:lang w:val="en-US"/>
    </w:rPr>
  </w:style>
  <w:style w:type="table" w:customStyle="1" w:styleId="TSTableInner">
    <w:name w:val="TS Table Inner"/>
    <w:basedOn w:val="TableNormal"/>
    <w:uiPriority w:val="99"/>
    <w:pPr>
      <w:spacing w:after="0" w:line="240" w:lineRule="auto"/>
      <w:jc w:val="center"/>
    </w:pPr>
    <w:tblPr/>
    <w:tcPr>
      <w:vAlign w:val="bottom"/>
    </w:tcPr>
    <w:tblStylePr w:type="firstRow">
      <w:rPr>
        <w:b/>
      </w:rPr>
      <w:tblPr/>
      <w:tcPr>
        <w:shd w:val="clear" w:color="auto" w:fill="F2F2F2"/>
      </w:tcPr>
    </w:tblStylePr>
  </w:style>
  <w:style w:type="character" w:customStyle="1" w:styleId="TSTableBulletChar">
    <w:name w:val="TS Table Bullet Char"/>
    <w:basedOn w:val="TSTableBodyChar"/>
    <w:link w:val="TSTableBullet"/>
    <w:rPr>
      <w:rFonts w:ascii="HelveticaNeueLT Std" w:eastAsia="Times New Roman" w:hAnsi="HelveticaNeueLT Std" w:cs="Arial"/>
      <w:sz w:val="18"/>
      <w:szCs w:val="18"/>
      <w:lang w:val="en-US"/>
    </w:rPr>
  </w:style>
  <w:style w:type="paragraph" w:customStyle="1" w:styleId="TSTableInnerBody">
    <w:name w:val="TS Table Inner Body"/>
    <w:basedOn w:val="TSTableBody"/>
    <w:link w:val="TSTableInnerBodyChar"/>
    <w:qFormat/>
    <w:pPr>
      <w:jc w:val="center"/>
    </w:pPr>
    <w:rPr>
      <w:sz w:val="16"/>
      <w:szCs w:val="16"/>
    </w:rPr>
  </w:style>
  <w:style w:type="character" w:customStyle="1" w:styleId="TSTableInnerBodyChar">
    <w:name w:val="TS Table Inner Body Char"/>
    <w:basedOn w:val="DefaultParagraphFont"/>
    <w:link w:val="TSTableInnerBody"/>
    <w:rPr>
      <w:rFonts w:ascii="HelveticaNeueLT Std" w:eastAsia="Times New Roman" w:hAnsi="HelveticaNeueLT Std" w:cs="Arial"/>
      <w:sz w:val="16"/>
      <w:szCs w:val="16"/>
      <w:lang w:val="en-US"/>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TSAddress">
    <w:name w:val="TS Address"/>
    <w:basedOn w:val="Normal"/>
    <w:link w:val="TSAddressChar"/>
    <w:qFormat/>
    <w:pPr>
      <w:spacing w:after="0"/>
      <w:jc w:val="right"/>
    </w:pPr>
    <w:rPr>
      <w:rFonts w:ascii="HelveticaNeueLT Std" w:hAnsi="HelveticaNeueLT Std" w:cs="Arial"/>
      <w:color w:val="FFFFFF" w:themeColor="background1"/>
      <w:sz w:val="16"/>
      <w:szCs w:val="16"/>
    </w:rPr>
  </w:style>
  <w:style w:type="character" w:customStyle="1" w:styleId="TSAddressChar">
    <w:name w:val="TS Address Char"/>
    <w:basedOn w:val="DefaultParagraphFont"/>
    <w:link w:val="TSAddress"/>
    <w:rPr>
      <w:rFonts w:ascii="HelveticaNeueLT Std" w:hAnsi="HelveticaNeueLT Std" w:cs="Arial"/>
      <w:color w:val="FFFFFF" w:themeColor="background1"/>
      <w:sz w:val="16"/>
      <w:szCs w:val="16"/>
    </w:rPr>
  </w:style>
  <w:style w:type="paragraph" w:customStyle="1" w:styleId="TSTableSubbullet">
    <w:name w:val="TS Table Subbullet"/>
    <w:basedOn w:val="TSTableBullet"/>
    <w:link w:val="TSTableSubbulletChar"/>
    <w:qFormat/>
    <w:pPr>
      <w:ind w:left="993" w:hanging="993"/>
    </w:pPr>
  </w:style>
  <w:style w:type="character" w:customStyle="1" w:styleId="TSTableSubbulletChar">
    <w:name w:val="TS Table Subbullet Char"/>
    <w:basedOn w:val="TSTableBulletChar"/>
    <w:link w:val="TSTableSubbullet"/>
    <w:rPr>
      <w:rFonts w:ascii="HelveticaNeueLT Std" w:eastAsia="Times New Roman" w:hAnsi="HelveticaNeueLT Std" w:cs="Arial"/>
      <w:sz w:val="18"/>
      <w:szCs w:val="18"/>
      <w:lang w:val="en-US"/>
    </w:rPr>
  </w:style>
  <w:style w:type="paragraph" w:customStyle="1" w:styleId="TSTableFormula">
    <w:name w:val="TSTableFormula"/>
    <w:basedOn w:val="TSTableBullet"/>
    <w:link w:val="TSTableFormulaChar"/>
    <w:qFormat/>
    <w:pPr>
      <w:ind w:firstLine="0"/>
    </w:pPr>
    <w:rPr>
      <w:b/>
      <w:bCs/>
    </w:rPr>
  </w:style>
  <w:style w:type="character" w:customStyle="1" w:styleId="TSTableFormulaChar">
    <w:name w:val="TSTableFormula Char"/>
    <w:basedOn w:val="TSTableBulletChar"/>
    <w:link w:val="TSTableFormula"/>
    <w:rPr>
      <w:rFonts w:ascii="HelveticaNeueLT Std" w:eastAsia="Times New Roman" w:hAnsi="HelveticaNeueLT Std" w:cs="Arial"/>
      <w:b/>
      <w:bCs/>
      <w:sz w:val="18"/>
      <w:szCs w:val="18"/>
      <w:lang w:val="en-US"/>
    </w:rPr>
  </w:style>
  <w:style w:type="paragraph" w:customStyle="1" w:styleId="TSTableFootnote">
    <w:name w:val="TS Table Footnote"/>
    <w:basedOn w:val="TSTableBody"/>
    <w:link w:val="TSTableFootnoteChar"/>
    <w:qFormat/>
    <w:pPr>
      <w:spacing w:before="0" w:after="220"/>
    </w:pPr>
    <w:rPr>
      <w:sz w:val="16"/>
      <w:szCs w:val="16"/>
    </w:rPr>
  </w:style>
  <w:style w:type="character" w:customStyle="1" w:styleId="TSTableFootnoteChar">
    <w:name w:val="TS Table Footnote Char"/>
    <w:basedOn w:val="TSTableBodyChar"/>
    <w:link w:val="TSTableFootnote"/>
    <w:rPr>
      <w:rFonts w:ascii="HelveticaNeueLT Std" w:eastAsia="Times New Roman" w:hAnsi="HelveticaNeueLT Std" w:cs="Arial"/>
      <w:sz w:val="16"/>
      <w:szCs w:val="16"/>
      <w:lang w:val="en-US"/>
    </w:rPr>
  </w:style>
  <w:style w:type="paragraph" w:customStyle="1" w:styleId="TSPreamble2">
    <w:name w:val="TS Preamble 2"/>
    <w:basedOn w:val="TSPreamble"/>
    <w:link w:val="TSPreamble2Char"/>
    <w:qFormat/>
    <w:pPr>
      <w:spacing w:before="40"/>
    </w:pPr>
  </w:style>
  <w:style w:type="character" w:customStyle="1" w:styleId="TSPreamble2Char">
    <w:name w:val="TS Preamble 2 Char"/>
    <w:basedOn w:val="TSPreambleChar"/>
    <w:link w:val="TSPreamble2"/>
    <w:rPr>
      <w:rFonts w:ascii="HelveticaNeueLT Std" w:eastAsia="Times New Roman" w:hAnsi="HelveticaNeueLT Std" w:cs="Arial"/>
      <w:sz w:val="16"/>
      <w:szCs w:val="18"/>
      <w:lang w:val="en-US"/>
    </w:rPr>
  </w:style>
  <w:style w:type="paragraph" w:customStyle="1" w:styleId="TSWarning">
    <w:name w:val="TS Warning"/>
    <w:basedOn w:val="Normal"/>
    <w:link w:val="TSWarningChar"/>
    <w:qFormat/>
    <w:pPr>
      <w:spacing w:before="160" w:after="0"/>
    </w:pPr>
    <w:rPr>
      <w:rFonts w:ascii="HelveticaNeueLT Std" w:hAnsi="HelveticaNeueLT Std"/>
      <w:sz w:val="20"/>
      <w:szCs w:val="20"/>
    </w:rPr>
  </w:style>
  <w:style w:type="character" w:customStyle="1" w:styleId="TSWarningChar">
    <w:name w:val="TS Warning Char"/>
    <w:basedOn w:val="DefaultParagraphFont"/>
    <w:link w:val="TSWarning"/>
    <w:rPr>
      <w:rFonts w:ascii="HelveticaNeueLT Std" w:hAnsi="HelveticaNeueLT Std"/>
      <w:sz w:val="20"/>
      <w:szCs w:val="20"/>
    </w:rPr>
  </w:style>
  <w:style w:type="paragraph" w:customStyle="1" w:styleId="Tabletext">
    <w:name w:val="_Tabletext"/>
    <w:basedOn w:val="Normal"/>
    <w:next w:val="Normal"/>
    <w:link w:val="TabletextChar"/>
    <w:rsid w:val="00FC2033"/>
    <w:pPr>
      <w:spacing w:before="80" w:after="80" w:line="240" w:lineRule="atLeast"/>
    </w:pPr>
    <w:rPr>
      <w:rFonts w:ascii="Arial" w:eastAsia="SimSun" w:hAnsi="Arial" w:cs="Times New Roman"/>
      <w:bCs/>
      <w:sz w:val="18"/>
      <w:szCs w:val="20"/>
      <w:lang w:val="en-AU"/>
    </w:rPr>
  </w:style>
  <w:style w:type="character" w:customStyle="1" w:styleId="TabletextChar">
    <w:name w:val="_Tabletext Char"/>
    <w:link w:val="Tabletext"/>
    <w:rsid w:val="00FC2033"/>
    <w:rPr>
      <w:rFonts w:ascii="Arial" w:eastAsia="SimSun" w:hAnsi="Arial" w:cs="Times New Roman"/>
      <w:bCs/>
      <w:sz w:val="18"/>
      <w:szCs w:val="20"/>
      <w:lang w:val="en-AU"/>
    </w:rPr>
  </w:style>
  <w:style w:type="table" w:customStyle="1" w:styleId="TSTableMain1">
    <w:name w:val="TS Table Main1"/>
    <w:basedOn w:val="ListTable3-Accent2"/>
    <w:uiPriority w:val="99"/>
    <w:rsid w:val="008070D7"/>
    <w:rPr>
      <w:rFonts w:ascii="HelveticaNeueLT Std" w:hAnsi="HelveticaNeueLT Std"/>
      <w:sz w:val="16"/>
      <w:szCs w:val="20"/>
      <w:lang w:val="en-US" w:eastAsia="en-GB"/>
    </w:rPr>
    <w:tblPr/>
    <w:tcPr>
      <w:shd w:val="clear" w:color="auto" w:fill="auto"/>
    </w:tcPr>
    <w:tblStylePr w:type="firstRow">
      <w:pPr>
        <w:jc w:val="left"/>
      </w:pPr>
      <w:rPr>
        <w:b/>
        <w:bCs/>
        <w:color w:val="FFFFFF"/>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paragraph" w:styleId="Revision">
    <w:name w:val="Revision"/>
    <w:hidden/>
    <w:uiPriority w:val="99"/>
    <w:semiHidden/>
    <w:rsid w:val="00953CE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571877">
      <w:bodyDiv w:val="1"/>
      <w:marLeft w:val="0"/>
      <w:marRight w:val="0"/>
      <w:marTop w:val="0"/>
      <w:marBottom w:val="0"/>
      <w:divBdr>
        <w:top w:val="none" w:sz="0" w:space="0" w:color="auto"/>
        <w:left w:val="none" w:sz="0" w:space="0" w:color="auto"/>
        <w:bottom w:val="none" w:sz="0" w:space="0" w:color="auto"/>
        <w:right w:val="none" w:sz="0" w:space="0" w:color="auto"/>
      </w:divBdr>
    </w:div>
    <w:div w:id="587688783">
      <w:bodyDiv w:val="1"/>
      <w:marLeft w:val="0"/>
      <w:marRight w:val="0"/>
      <w:marTop w:val="0"/>
      <w:marBottom w:val="0"/>
      <w:divBdr>
        <w:top w:val="none" w:sz="0" w:space="0" w:color="auto"/>
        <w:left w:val="none" w:sz="0" w:space="0" w:color="auto"/>
        <w:bottom w:val="none" w:sz="0" w:space="0" w:color="auto"/>
        <w:right w:val="none" w:sz="0" w:space="0" w:color="auto"/>
      </w:divBdr>
    </w:div>
    <w:div w:id="596403321">
      <w:bodyDiv w:val="1"/>
      <w:marLeft w:val="0"/>
      <w:marRight w:val="0"/>
      <w:marTop w:val="0"/>
      <w:marBottom w:val="0"/>
      <w:divBdr>
        <w:top w:val="none" w:sz="0" w:space="0" w:color="auto"/>
        <w:left w:val="none" w:sz="0" w:space="0" w:color="auto"/>
        <w:bottom w:val="none" w:sz="0" w:space="0" w:color="auto"/>
        <w:right w:val="none" w:sz="0" w:space="0" w:color="auto"/>
      </w:divBdr>
    </w:div>
    <w:div w:id="198458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2.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Props1.xml><?xml version="1.0" encoding="utf-8"?>
<ds:datastoreItem xmlns:ds="http://schemas.openxmlformats.org/officeDocument/2006/customXml" ds:itemID="{3A71F64E-D47E-43AF-B2C3-4DCC6B36C253}">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xml><?xml version="1.0" encoding="utf-8"?>
<ds:datastoreItem xmlns:ds="http://schemas.openxmlformats.org/officeDocument/2006/customXml" ds:itemID="{1D78A31A-990F-442E-9BC7-DC135787AC8E}">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9</Pages>
  <Words>5283</Words>
  <Characters>30119</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Harrison</dc:creator>
  <cp:keywords/>
  <dc:description/>
  <cp:lastModifiedBy>Goddard, Daniel</cp:lastModifiedBy>
  <cp:revision>19</cp:revision>
  <cp:lastPrinted>2025-10-24T14:53:00Z</cp:lastPrinted>
  <dcterms:created xsi:type="dcterms:W3CDTF">2025-06-17T17:51:00Z</dcterms:created>
  <dcterms:modified xsi:type="dcterms:W3CDTF">2025-10-24T14:53:00Z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TT_Public</vt:lpwstr>
  </property>
</Properties>
</file>