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3354" w14:textId="77777777" w:rsidR="001E58A7" w:rsidRPr="00E34966" w:rsidRDefault="001E58A7">
      <w:pPr>
        <w:rPr>
          <w:rFonts w:ascii="Times New Roman" w:hAnsi="Times New Roman"/>
        </w:rPr>
      </w:pPr>
    </w:p>
    <w:p w14:paraId="4638EDEA" w14:textId="77777777" w:rsidR="001E58A7" w:rsidRPr="00E34966" w:rsidRDefault="001E58A7">
      <w:pPr>
        <w:rPr>
          <w:rFonts w:ascii="Times New Roman" w:hAnsi="Times New Roman"/>
        </w:rPr>
      </w:pPr>
    </w:p>
    <w:p w14:paraId="110C0007" w14:textId="77777777" w:rsidR="00EC3692" w:rsidRPr="00E34966" w:rsidRDefault="00EC3692">
      <w:pPr>
        <w:rPr>
          <w:rFonts w:ascii="Times New Roman" w:hAnsi="Times New Roman"/>
        </w:rPr>
      </w:pPr>
    </w:p>
    <w:p w14:paraId="1469D41A" w14:textId="77777777" w:rsidR="001E58A7" w:rsidRPr="00E34966" w:rsidRDefault="007140C5">
      <w:pPr>
        <w:rPr>
          <w:rFonts w:ascii="Times New Roman" w:hAnsi="Times New Roman"/>
        </w:rPr>
      </w:pPr>
      <w:r>
        <w:rPr>
          <w:rFonts w:ascii="Times New Roman" w:hAnsi="Times New Roman"/>
          <w:noProof/>
          <w:sz w:val="22"/>
        </w:rPr>
        <w:pict w14:anchorId="6EFF0F40">
          <v:shapetype id="_x0000_t202" coordsize="21600,21600" o:spt="202" path="m,l,21600r21600,l21600,xe">
            <v:stroke joinstyle="miter"/>
            <v:path gradientshapeok="t" o:connecttype="rect"/>
          </v:shapetype>
          <v:shape id="_x0000_s2061" type="#_x0000_t202" style="position:absolute;margin-left:30.65pt;margin-top:137.6pt;width:552.2pt;height:28.45pt;z-index:251657728;mso-position-horizontal-relative:page;mso-position-vertical-relative:page" stroked="f">
            <v:textbox style="mso-next-textbox:#_x0000_s2061" inset="0,0,0,0">
              <w:txbxContent>
                <w:p w14:paraId="3B90BC98" w14:textId="77777777" w:rsidR="00EC3692" w:rsidRPr="00F73D85" w:rsidRDefault="00E34966" w:rsidP="00696437">
                  <w:pPr>
                    <w:pStyle w:val="Heading2"/>
                    <w:tabs>
                      <w:tab w:val="right" w:pos="10800"/>
                    </w:tabs>
                    <w:rPr>
                      <w:color w:val="0066CC"/>
                    </w:rPr>
                  </w:pPr>
                  <w:r w:rsidRPr="005C0441">
                    <w:rPr>
                      <w:rFonts w:ascii="Times New Roman" w:hAnsi="Times New Roman" w:cs="Times New Roman"/>
                      <w:i w:val="0"/>
                      <w:iCs w:val="0"/>
                      <w:color w:val="0066CC"/>
                    </w:rPr>
                    <w:t>Indicative Term Sheet</w:t>
                  </w:r>
                  <w:r w:rsidR="00C27B60">
                    <w:rPr>
                      <w:color w:val="0066CC"/>
                    </w:rPr>
                    <w:tab/>
                  </w:r>
                  <w:r w:rsidR="00FD1FFB">
                    <w:rPr>
                      <w:color w:val="0066CC"/>
                    </w:rPr>
                    <w:tab/>
                  </w:r>
                  <w:r w:rsidR="000528D7" w:rsidRPr="00F73D85">
                    <w:rPr>
                      <w:color w:val="0066CC"/>
                    </w:rPr>
                    <w:tab/>
                  </w:r>
                  <w:r w:rsidR="000528D7" w:rsidRPr="00F73D85">
                    <w:rPr>
                      <w:color w:val="0066CC"/>
                    </w:rPr>
                    <w:tab/>
                  </w:r>
                  <w:r w:rsidR="009E45FE" w:rsidRPr="00F73D85">
                    <w:rPr>
                      <w:color w:val="0066CC"/>
                    </w:rPr>
                    <w:tab/>
                  </w:r>
                  <w:r w:rsidR="001E6BC2" w:rsidRPr="00F73D85">
                    <w:rPr>
                      <w:color w:val="0066CC"/>
                    </w:rPr>
                    <w:tab/>
                  </w:r>
                  <w:r w:rsidR="005A2D66" w:rsidRPr="00F73D85">
                    <w:rPr>
                      <w:color w:val="0066CC"/>
                    </w:rPr>
                    <w:tab/>
                  </w:r>
                  <w:r w:rsidR="00B762A4" w:rsidRPr="00F73D85">
                    <w:rPr>
                      <w:color w:val="0066CC"/>
                    </w:rPr>
                    <w:tab/>
                  </w:r>
                  <w:r w:rsidR="00D60151" w:rsidRPr="00F73D85">
                    <w:rPr>
                      <w:color w:val="0066CC"/>
                    </w:rPr>
                    <w:tab/>
                  </w:r>
                  <w:r w:rsidR="00164658" w:rsidRPr="00F73D85">
                    <w:rPr>
                      <w:color w:val="0066CC"/>
                    </w:rPr>
                    <w:tab/>
                  </w:r>
                  <w:r w:rsidR="00FC5947" w:rsidRPr="00F73D85">
                    <w:rPr>
                      <w:color w:val="0066CC"/>
                    </w:rPr>
                    <w:tab/>
                  </w:r>
                  <w:r w:rsidR="006A0612" w:rsidRPr="00F73D85">
                    <w:rPr>
                      <w:color w:val="0066CC"/>
                    </w:rPr>
                    <w:tab/>
                  </w:r>
                  <w:r w:rsidR="00923446" w:rsidRPr="00F73D85">
                    <w:rPr>
                      <w:color w:val="0066CC"/>
                    </w:rPr>
                    <w:tab/>
                  </w:r>
                  <w:r w:rsidR="00E45F37" w:rsidRPr="00F73D85">
                    <w:rPr>
                      <w:color w:val="0066CC"/>
                    </w:rPr>
                    <w:tab/>
                  </w:r>
                  <w:r w:rsidR="00904D83" w:rsidRPr="00F73D85">
                    <w:rPr>
                      <w:color w:val="0066CC"/>
                    </w:rPr>
                    <w:tab/>
                  </w:r>
                  <w:r w:rsidR="00EC3692" w:rsidRPr="00F73D85">
                    <w:rPr>
                      <w:color w:val="0066CC"/>
                    </w:rPr>
                    <w:tab/>
                  </w:r>
                  <w:r w:rsidR="00EC3692" w:rsidRPr="00F73D85">
                    <w:rPr>
                      <w:color w:val="0066CC"/>
                    </w:rPr>
                    <w:tab/>
                  </w:r>
                  <w:r w:rsidR="00EC3692" w:rsidRPr="00F73D85">
                    <w:rPr>
                      <w:color w:val="0066CC"/>
                    </w:rPr>
                    <w:tab/>
                  </w:r>
                  <w:r w:rsidR="00EC3692" w:rsidRPr="00F73D85">
                    <w:rPr>
                      <w:color w:val="0066CC"/>
                    </w:rPr>
                    <w:tab/>
                  </w:r>
                </w:p>
              </w:txbxContent>
            </v:textbox>
            <w10:wrap type="square" anchorx="page" anchory="page"/>
          </v:shape>
        </w:pict>
      </w:r>
    </w:p>
    <w:tbl>
      <w:tblPr>
        <w:tblW w:w="10800" w:type="dxa"/>
        <w:jc w:val="center"/>
        <w:tblLook w:val="0000" w:firstRow="0" w:lastRow="0" w:firstColumn="0" w:lastColumn="0" w:noHBand="0" w:noVBand="0"/>
      </w:tblPr>
      <w:tblGrid>
        <w:gridCol w:w="2088"/>
        <w:gridCol w:w="8712"/>
      </w:tblGrid>
      <w:tr w:rsidR="00EC3692" w:rsidRPr="00E34966" w14:paraId="4E44DA0A" w14:textId="77777777" w:rsidTr="00A71C2E">
        <w:trPr>
          <w:jc w:val="center"/>
        </w:trPr>
        <w:tc>
          <w:tcPr>
            <w:tcW w:w="2088" w:type="dxa"/>
          </w:tcPr>
          <w:p w14:paraId="3AFAAED4"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Issuer</w:t>
            </w:r>
          </w:p>
        </w:tc>
        <w:tc>
          <w:tcPr>
            <w:tcW w:w="8712" w:type="dxa"/>
          </w:tcPr>
          <w:p w14:paraId="3E11DC7F" w14:textId="77777777" w:rsidR="00EC3692" w:rsidRPr="00E34966" w:rsidRDefault="00EC3692" w:rsidP="007A1ADD">
            <w:pPr>
              <w:pStyle w:val="Header"/>
              <w:tabs>
                <w:tab w:val="clear" w:pos="4320"/>
                <w:tab w:val="clear" w:pos="8640"/>
              </w:tabs>
              <w:spacing w:before="120" w:after="120"/>
              <w:rPr>
                <w:sz w:val="22"/>
                <w:szCs w:val="22"/>
              </w:rPr>
            </w:pPr>
            <w:r w:rsidRPr="00E34966">
              <w:rPr>
                <w:sz w:val="22"/>
                <w:szCs w:val="22"/>
              </w:rPr>
              <w:t>Royal Bank of Canada</w:t>
            </w:r>
          </w:p>
        </w:tc>
      </w:tr>
      <w:tr w:rsidR="00EC3692" w:rsidRPr="00E34966" w14:paraId="2E7D0221" w14:textId="77777777" w:rsidTr="00A71C2E">
        <w:trPr>
          <w:jc w:val="center"/>
        </w:trPr>
        <w:tc>
          <w:tcPr>
            <w:tcW w:w="2088" w:type="dxa"/>
          </w:tcPr>
          <w:p w14:paraId="426D8CAC"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Credit Rating</w:t>
            </w:r>
          </w:p>
        </w:tc>
        <w:tc>
          <w:tcPr>
            <w:tcW w:w="8712" w:type="dxa"/>
          </w:tcPr>
          <w:p w14:paraId="7FBA708E" w14:textId="77777777" w:rsidR="00EC3692" w:rsidRPr="00E34966" w:rsidRDefault="00E34966" w:rsidP="007544F0">
            <w:pPr>
              <w:pStyle w:val="Header"/>
              <w:tabs>
                <w:tab w:val="clear" w:pos="4320"/>
                <w:tab w:val="clear" w:pos="8640"/>
              </w:tabs>
              <w:spacing w:before="120" w:after="120"/>
              <w:rPr>
                <w:sz w:val="22"/>
                <w:szCs w:val="22"/>
              </w:rPr>
            </w:pPr>
            <w:r w:rsidRPr="00E34966">
              <w:rPr>
                <w:sz w:val="22"/>
                <w:szCs w:val="22"/>
              </w:rPr>
              <w:t>Moody's: A1; S&amp;P: A; DBRS: AA</w:t>
            </w:r>
          </w:p>
        </w:tc>
      </w:tr>
      <w:tr w:rsidR="00EC3692" w:rsidRPr="00E34966" w14:paraId="70129B78" w14:textId="77777777" w:rsidTr="00A71C2E">
        <w:trPr>
          <w:jc w:val="center"/>
        </w:trPr>
        <w:tc>
          <w:tcPr>
            <w:tcW w:w="2088" w:type="dxa"/>
          </w:tcPr>
          <w:p w14:paraId="0CC78049"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Issue Type</w:t>
            </w:r>
          </w:p>
        </w:tc>
        <w:tc>
          <w:tcPr>
            <w:tcW w:w="8712" w:type="dxa"/>
          </w:tcPr>
          <w:p w14:paraId="5C913142" w14:textId="77777777" w:rsidR="00EC3692" w:rsidRPr="00E34966" w:rsidRDefault="00EC3692" w:rsidP="007A1ADD">
            <w:pPr>
              <w:pStyle w:val="Header"/>
              <w:tabs>
                <w:tab w:val="clear" w:pos="4320"/>
                <w:tab w:val="clear" w:pos="8640"/>
              </w:tabs>
              <w:spacing w:before="120"/>
              <w:rPr>
                <w:sz w:val="22"/>
                <w:szCs w:val="22"/>
              </w:rPr>
            </w:pPr>
            <w:r w:rsidRPr="00E34966">
              <w:rPr>
                <w:sz w:val="22"/>
                <w:szCs w:val="22"/>
              </w:rPr>
              <w:t>Issuer Extendible</w:t>
            </w:r>
            <w:r w:rsidR="006C09AE" w:rsidRPr="00E34966">
              <w:rPr>
                <w:sz w:val="22"/>
                <w:szCs w:val="22"/>
              </w:rPr>
              <w:t xml:space="preserve"> Linear</w:t>
            </w:r>
            <w:r w:rsidRPr="00E34966">
              <w:rPr>
                <w:sz w:val="22"/>
                <w:szCs w:val="22"/>
              </w:rPr>
              <w:t xml:space="preserve"> </w:t>
            </w:r>
            <w:r w:rsidR="00D60151" w:rsidRPr="00E34966">
              <w:rPr>
                <w:sz w:val="22"/>
                <w:szCs w:val="22"/>
              </w:rPr>
              <w:t>Accrual</w:t>
            </w:r>
            <w:r w:rsidRPr="00E34966">
              <w:rPr>
                <w:sz w:val="22"/>
                <w:szCs w:val="22"/>
              </w:rPr>
              <w:t xml:space="preserve"> Notes </w:t>
            </w:r>
          </w:p>
          <w:p w14:paraId="491B886B" w14:textId="77777777" w:rsidR="00EC3692" w:rsidRPr="00E34966" w:rsidRDefault="006C09AE" w:rsidP="007A1ADD">
            <w:pPr>
              <w:pStyle w:val="Header"/>
              <w:tabs>
                <w:tab w:val="clear" w:pos="4320"/>
                <w:tab w:val="clear" w:pos="8640"/>
              </w:tabs>
              <w:rPr>
                <w:sz w:val="22"/>
                <w:szCs w:val="22"/>
              </w:rPr>
            </w:pPr>
            <w:r w:rsidRPr="00E34966">
              <w:rPr>
                <w:sz w:val="22"/>
                <w:szCs w:val="22"/>
              </w:rPr>
              <w:t>Zero Coupon</w:t>
            </w:r>
          </w:p>
          <w:p w14:paraId="404D49BD" w14:textId="77777777" w:rsidR="00EC3692" w:rsidRPr="00E34966" w:rsidRDefault="00EC3692" w:rsidP="005F0DAF">
            <w:pPr>
              <w:pStyle w:val="Header"/>
              <w:tabs>
                <w:tab w:val="clear" w:pos="4320"/>
                <w:tab w:val="clear" w:pos="8640"/>
              </w:tabs>
              <w:spacing w:after="120"/>
              <w:rPr>
                <w:sz w:val="22"/>
                <w:szCs w:val="22"/>
              </w:rPr>
            </w:pPr>
            <w:r w:rsidRPr="00E34966">
              <w:rPr>
                <w:sz w:val="22"/>
                <w:szCs w:val="22"/>
              </w:rPr>
              <w:t>Senior</w:t>
            </w:r>
            <w:r w:rsidR="00E80293" w:rsidRPr="00E34966">
              <w:rPr>
                <w:sz w:val="22"/>
                <w:szCs w:val="22"/>
              </w:rPr>
              <w:t xml:space="preserve"> </w:t>
            </w:r>
            <w:r w:rsidRPr="00E34966">
              <w:rPr>
                <w:sz w:val="22"/>
                <w:szCs w:val="22"/>
              </w:rPr>
              <w:t xml:space="preserve">Notes </w:t>
            </w:r>
            <w:r w:rsidR="00974E0D" w:rsidRPr="00E34966">
              <w:rPr>
                <w:sz w:val="22"/>
                <w:szCs w:val="22"/>
              </w:rPr>
              <w:t>(the “</w:t>
            </w:r>
            <w:r w:rsidR="00974E0D" w:rsidRPr="00E34966">
              <w:rPr>
                <w:b/>
                <w:sz w:val="22"/>
                <w:szCs w:val="22"/>
              </w:rPr>
              <w:t>Notes</w:t>
            </w:r>
            <w:r w:rsidR="00974E0D" w:rsidRPr="00E34966">
              <w:rPr>
                <w:sz w:val="22"/>
                <w:szCs w:val="22"/>
              </w:rPr>
              <w:t xml:space="preserve">”) </w:t>
            </w:r>
            <w:r w:rsidRPr="00E34966">
              <w:rPr>
                <w:sz w:val="22"/>
                <w:szCs w:val="22"/>
              </w:rPr>
              <w:t>- Book Based Via CDS</w:t>
            </w:r>
          </w:p>
        </w:tc>
      </w:tr>
      <w:tr w:rsidR="009A0DEA" w:rsidRPr="00E34966" w14:paraId="2412977D" w14:textId="77777777" w:rsidTr="00A71C2E">
        <w:trPr>
          <w:jc w:val="center"/>
        </w:trPr>
        <w:tc>
          <w:tcPr>
            <w:tcW w:w="2088" w:type="dxa"/>
          </w:tcPr>
          <w:p w14:paraId="14E33332" w14:textId="77777777" w:rsidR="009A0DEA" w:rsidRPr="00E34966" w:rsidRDefault="009A0DEA" w:rsidP="007A1ADD">
            <w:pPr>
              <w:pStyle w:val="Header"/>
              <w:tabs>
                <w:tab w:val="clear" w:pos="4320"/>
                <w:tab w:val="clear" w:pos="8640"/>
              </w:tabs>
              <w:spacing w:before="120" w:after="120"/>
              <w:rPr>
                <w:b/>
                <w:bCs/>
                <w:sz w:val="22"/>
                <w:szCs w:val="22"/>
              </w:rPr>
            </w:pPr>
            <w:r w:rsidRPr="00E34966">
              <w:rPr>
                <w:b/>
                <w:bCs/>
                <w:sz w:val="22"/>
                <w:szCs w:val="22"/>
              </w:rPr>
              <w:t xml:space="preserve">Canadian Bail </w:t>
            </w:r>
            <w:proofErr w:type="gramStart"/>
            <w:r w:rsidRPr="00E34966">
              <w:rPr>
                <w:b/>
                <w:bCs/>
                <w:sz w:val="22"/>
                <w:szCs w:val="22"/>
              </w:rPr>
              <w:t>In</w:t>
            </w:r>
            <w:proofErr w:type="gramEnd"/>
            <w:r w:rsidRPr="00E34966">
              <w:rPr>
                <w:b/>
                <w:bCs/>
                <w:sz w:val="22"/>
                <w:szCs w:val="22"/>
              </w:rPr>
              <w:t xml:space="preserve"> Regime</w:t>
            </w:r>
            <w:r w:rsidR="003218BD" w:rsidRPr="00E34966">
              <w:rPr>
                <w:b/>
                <w:bCs/>
                <w:sz w:val="22"/>
                <w:szCs w:val="22"/>
              </w:rPr>
              <w:t xml:space="preserve"> Acknowledgement</w:t>
            </w:r>
          </w:p>
        </w:tc>
        <w:tc>
          <w:tcPr>
            <w:tcW w:w="8712" w:type="dxa"/>
          </w:tcPr>
          <w:p w14:paraId="6B2FCE84" w14:textId="77777777" w:rsidR="009A0DEA" w:rsidRPr="00E34966" w:rsidRDefault="00BE08D0" w:rsidP="00600A6C">
            <w:pPr>
              <w:pStyle w:val="Header"/>
              <w:tabs>
                <w:tab w:val="clear" w:pos="4320"/>
                <w:tab w:val="clear" w:pos="8640"/>
              </w:tabs>
              <w:spacing w:before="120" w:after="120"/>
              <w:rPr>
                <w:sz w:val="22"/>
                <w:szCs w:val="22"/>
              </w:rPr>
            </w:pPr>
            <w:r w:rsidRPr="00E34966">
              <w:rPr>
                <w:sz w:val="22"/>
                <w:szCs w:val="22"/>
              </w:rPr>
              <w:t xml:space="preserve">The </w:t>
            </w:r>
            <w:r w:rsidR="005F0DAF" w:rsidRPr="00E34966">
              <w:rPr>
                <w:sz w:val="22"/>
                <w:szCs w:val="22"/>
              </w:rPr>
              <w:t>Notes</w:t>
            </w:r>
            <w:r w:rsidRPr="00E34966">
              <w:rPr>
                <w:sz w:val="22"/>
                <w:szCs w:val="22"/>
              </w:rPr>
              <w:t xml:space="preserve"> are subject to bail-in conversion under the Canadian bail-in regime.</w:t>
            </w:r>
          </w:p>
        </w:tc>
      </w:tr>
      <w:tr w:rsidR="00EC3692" w:rsidRPr="00E34966" w14:paraId="08168445" w14:textId="77777777" w:rsidTr="00A71C2E">
        <w:trPr>
          <w:jc w:val="center"/>
        </w:trPr>
        <w:tc>
          <w:tcPr>
            <w:tcW w:w="2088" w:type="dxa"/>
          </w:tcPr>
          <w:p w14:paraId="784A61DC"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Issuer’s Option</w:t>
            </w:r>
          </w:p>
        </w:tc>
        <w:tc>
          <w:tcPr>
            <w:tcW w:w="8712" w:type="dxa"/>
          </w:tcPr>
          <w:p w14:paraId="589931C0" w14:textId="77777777" w:rsidR="00EC3692" w:rsidRPr="00E34966" w:rsidRDefault="00EC3692" w:rsidP="00600A6C">
            <w:pPr>
              <w:pStyle w:val="Header"/>
              <w:tabs>
                <w:tab w:val="clear" w:pos="4320"/>
                <w:tab w:val="clear" w:pos="8640"/>
              </w:tabs>
              <w:spacing w:before="120" w:after="120"/>
              <w:rPr>
                <w:sz w:val="22"/>
                <w:szCs w:val="22"/>
              </w:rPr>
            </w:pPr>
            <w:r w:rsidRPr="00E34966">
              <w:rPr>
                <w:sz w:val="22"/>
                <w:szCs w:val="22"/>
              </w:rPr>
              <w:t xml:space="preserve">Extendible by the Issuer </w:t>
            </w:r>
            <w:r w:rsidR="00600A6C" w:rsidRPr="00E34966">
              <w:rPr>
                <w:sz w:val="22"/>
                <w:szCs w:val="22"/>
              </w:rPr>
              <w:t xml:space="preserve">on the Initial Maturity Date and on each of the Extended Maturity Dates.  </w:t>
            </w:r>
          </w:p>
        </w:tc>
      </w:tr>
      <w:tr w:rsidR="00E34966" w:rsidRPr="00E34966" w14:paraId="2A1B52A0" w14:textId="77777777" w:rsidTr="00A71C2E">
        <w:trPr>
          <w:jc w:val="center"/>
        </w:trPr>
        <w:tc>
          <w:tcPr>
            <w:tcW w:w="2088" w:type="dxa"/>
          </w:tcPr>
          <w:p w14:paraId="62DD05A9" w14:textId="77777777" w:rsidR="00E34966" w:rsidRPr="00E34966" w:rsidRDefault="00E34966" w:rsidP="00E34966">
            <w:pPr>
              <w:pStyle w:val="Header"/>
              <w:tabs>
                <w:tab w:val="clear" w:pos="4320"/>
                <w:tab w:val="clear" w:pos="8640"/>
              </w:tabs>
              <w:spacing w:before="120" w:after="120"/>
              <w:rPr>
                <w:b/>
                <w:bCs/>
                <w:sz w:val="22"/>
                <w:szCs w:val="22"/>
              </w:rPr>
            </w:pPr>
            <w:r w:rsidRPr="00E34966">
              <w:rPr>
                <w:b/>
                <w:bCs/>
                <w:sz w:val="22"/>
                <w:szCs w:val="22"/>
              </w:rPr>
              <w:t>Issue Size</w:t>
            </w:r>
          </w:p>
        </w:tc>
        <w:tc>
          <w:tcPr>
            <w:tcW w:w="8712" w:type="dxa"/>
          </w:tcPr>
          <w:p w14:paraId="542EFFE2" w14:textId="77777777" w:rsidR="00E34966" w:rsidRPr="00E34966" w:rsidRDefault="00E34966" w:rsidP="00E34966">
            <w:pPr>
              <w:pStyle w:val="Header"/>
              <w:tabs>
                <w:tab w:val="clear" w:pos="4320"/>
                <w:tab w:val="clear" w:pos="8640"/>
              </w:tabs>
              <w:spacing w:before="120" w:after="120"/>
              <w:rPr>
                <w:rFonts w:eastAsia="DengXian"/>
                <w:sz w:val="22"/>
                <w:szCs w:val="22"/>
                <w:lang w:eastAsia="zh-CN"/>
              </w:rPr>
            </w:pPr>
            <w:r w:rsidRPr="00E34966">
              <w:rPr>
                <w:sz w:val="22"/>
                <w:szCs w:val="22"/>
              </w:rPr>
              <w:t xml:space="preserve">$ [-] </w:t>
            </w:r>
            <w:r w:rsidR="005D75F8">
              <w:rPr>
                <w:sz w:val="22"/>
                <w:szCs w:val="22"/>
              </w:rPr>
              <w:t>USD</w:t>
            </w:r>
            <w:r w:rsidRPr="00E34966">
              <w:rPr>
                <w:sz w:val="22"/>
                <w:szCs w:val="22"/>
              </w:rPr>
              <w:t xml:space="preserve"> + Upsizes</w:t>
            </w:r>
          </w:p>
        </w:tc>
      </w:tr>
      <w:tr w:rsidR="00EC3692" w:rsidRPr="00E34966" w14:paraId="5A4E83F3" w14:textId="77777777" w:rsidTr="00A71C2E">
        <w:trPr>
          <w:jc w:val="center"/>
        </w:trPr>
        <w:tc>
          <w:tcPr>
            <w:tcW w:w="2088" w:type="dxa"/>
          </w:tcPr>
          <w:p w14:paraId="753D8F93"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Settlement Date</w:t>
            </w:r>
          </w:p>
        </w:tc>
        <w:tc>
          <w:tcPr>
            <w:tcW w:w="8712" w:type="dxa"/>
          </w:tcPr>
          <w:p w14:paraId="55B9F73B" w14:textId="77777777" w:rsidR="00EC3692" w:rsidRPr="00E34966" w:rsidRDefault="00E34966" w:rsidP="00FD1FFB">
            <w:pPr>
              <w:pStyle w:val="Header"/>
              <w:tabs>
                <w:tab w:val="clear" w:pos="4320"/>
                <w:tab w:val="clear" w:pos="8640"/>
              </w:tabs>
              <w:spacing w:before="240" w:after="120"/>
              <w:rPr>
                <w:sz w:val="22"/>
                <w:szCs w:val="22"/>
              </w:rPr>
            </w:pPr>
            <w:r w:rsidRPr="00E34966">
              <w:rPr>
                <w:sz w:val="22"/>
                <w:szCs w:val="22"/>
              </w:rPr>
              <w:t>15-May-2026</w:t>
            </w:r>
          </w:p>
        </w:tc>
      </w:tr>
      <w:tr w:rsidR="00EC3692" w:rsidRPr="00E34966" w14:paraId="7631090A" w14:textId="77777777" w:rsidTr="00A71C2E">
        <w:trPr>
          <w:jc w:val="center"/>
        </w:trPr>
        <w:tc>
          <w:tcPr>
            <w:tcW w:w="2088" w:type="dxa"/>
          </w:tcPr>
          <w:p w14:paraId="1128E23D"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New Issue Price</w:t>
            </w:r>
          </w:p>
        </w:tc>
        <w:tc>
          <w:tcPr>
            <w:tcW w:w="8712" w:type="dxa"/>
          </w:tcPr>
          <w:p w14:paraId="687BF348" w14:textId="77777777" w:rsidR="00EC3692" w:rsidRPr="00E34966" w:rsidRDefault="00EC3692" w:rsidP="007A1ADD">
            <w:pPr>
              <w:pStyle w:val="Header"/>
              <w:tabs>
                <w:tab w:val="clear" w:pos="4320"/>
                <w:tab w:val="clear" w:pos="8640"/>
              </w:tabs>
              <w:spacing w:before="120" w:after="120"/>
              <w:rPr>
                <w:sz w:val="22"/>
                <w:szCs w:val="22"/>
              </w:rPr>
            </w:pPr>
            <w:r w:rsidRPr="00E34966">
              <w:rPr>
                <w:sz w:val="22"/>
                <w:szCs w:val="22"/>
              </w:rPr>
              <w:t>$100.00</w:t>
            </w:r>
          </w:p>
        </w:tc>
      </w:tr>
      <w:tr w:rsidR="00EC3692" w:rsidRPr="00E34966" w14:paraId="2B728BC3" w14:textId="77777777" w:rsidTr="00A71C2E">
        <w:trPr>
          <w:jc w:val="center"/>
        </w:trPr>
        <w:tc>
          <w:tcPr>
            <w:tcW w:w="2088" w:type="dxa"/>
          </w:tcPr>
          <w:p w14:paraId="5234B673"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Maturity Date</w:t>
            </w:r>
          </w:p>
        </w:tc>
        <w:tc>
          <w:tcPr>
            <w:tcW w:w="8712" w:type="dxa"/>
          </w:tcPr>
          <w:p w14:paraId="4B483052" w14:textId="77777777" w:rsidR="00EC3692" w:rsidRPr="00E34966" w:rsidRDefault="00EC3692" w:rsidP="007A1ADD">
            <w:pPr>
              <w:pStyle w:val="Header"/>
              <w:tabs>
                <w:tab w:val="clear" w:pos="4320"/>
                <w:tab w:val="clear" w:pos="8640"/>
              </w:tabs>
              <w:spacing w:before="120" w:after="120"/>
              <w:rPr>
                <w:sz w:val="22"/>
                <w:szCs w:val="22"/>
              </w:rPr>
            </w:pPr>
            <w:r w:rsidRPr="00E34966">
              <w:rPr>
                <w:sz w:val="22"/>
                <w:szCs w:val="22"/>
              </w:rPr>
              <w:t>The Initial Maturity Date, subject to extension by the Issuer to an Extended Maturity Date, as the case may be, pursuant to the section entitled “Extension Feature” below.</w:t>
            </w:r>
          </w:p>
        </w:tc>
      </w:tr>
      <w:tr w:rsidR="00EC3692" w:rsidRPr="00E34966" w14:paraId="12260075" w14:textId="77777777" w:rsidTr="00A71C2E">
        <w:trPr>
          <w:jc w:val="center"/>
        </w:trPr>
        <w:tc>
          <w:tcPr>
            <w:tcW w:w="2088" w:type="dxa"/>
          </w:tcPr>
          <w:p w14:paraId="646886BD"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Initial Maturity Date</w:t>
            </w:r>
          </w:p>
        </w:tc>
        <w:tc>
          <w:tcPr>
            <w:tcW w:w="8712" w:type="dxa"/>
          </w:tcPr>
          <w:p w14:paraId="1905E4C4" w14:textId="77777777" w:rsidR="00EC3692" w:rsidRPr="00E34966" w:rsidRDefault="00E34966" w:rsidP="003364AF">
            <w:pPr>
              <w:pStyle w:val="Header"/>
              <w:tabs>
                <w:tab w:val="clear" w:pos="4320"/>
                <w:tab w:val="clear" w:pos="8640"/>
              </w:tabs>
              <w:spacing w:before="120" w:after="120"/>
              <w:rPr>
                <w:rFonts w:eastAsia="DengXian"/>
                <w:sz w:val="22"/>
                <w:szCs w:val="22"/>
                <w:lang w:eastAsia="zh-CN"/>
              </w:rPr>
            </w:pPr>
            <w:r w:rsidRPr="00E34966">
              <w:rPr>
                <w:sz w:val="22"/>
                <w:szCs w:val="22"/>
              </w:rPr>
              <w:t>15-May-2030</w:t>
            </w:r>
          </w:p>
        </w:tc>
      </w:tr>
      <w:tr w:rsidR="00226C73" w:rsidRPr="00E34966" w14:paraId="051872C1" w14:textId="77777777" w:rsidTr="00A71C2E">
        <w:trPr>
          <w:jc w:val="center"/>
        </w:trPr>
        <w:tc>
          <w:tcPr>
            <w:tcW w:w="2088" w:type="dxa"/>
          </w:tcPr>
          <w:p w14:paraId="56EC4665" w14:textId="77777777" w:rsidR="00226C73" w:rsidRPr="00E34966" w:rsidRDefault="00226C73" w:rsidP="007A1ADD">
            <w:pPr>
              <w:pStyle w:val="Header"/>
              <w:tabs>
                <w:tab w:val="clear" w:pos="4320"/>
                <w:tab w:val="clear" w:pos="8640"/>
              </w:tabs>
              <w:spacing w:before="120" w:after="120"/>
              <w:rPr>
                <w:b/>
                <w:bCs/>
                <w:sz w:val="22"/>
                <w:szCs w:val="22"/>
              </w:rPr>
            </w:pPr>
            <w:r w:rsidRPr="00E34966">
              <w:rPr>
                <w:b/>
                <w:bCs/>
                <w:sz w:val="22"/>
                <w:szCs w:val="22"/>
              </w:rPr>
              <w:t>Extended Maturity Date</w:t>
            </w:r>
          </w:p>
        </w:tc>
        <w:tc>
          <w:tcPr>
            <w:tcW w:w="8712" w:type="dxa"/>
          </w:tcPr>
          <w:p w14:paraId="41556BE1" w14:textId="77777777" w:rsidR="00226C73" w:rsidRPr="00E34966" w:rsidRDefault="00226C73" w:rsidP="003364AF">
            <w:pPr>
              <w:pStyle w:val="Header"/>
              <w:tabs>
                <w:tab w:val="clear" w:pos="4320"/>
                <w:tab w:val="clear" w:pos="8640"/>
              </w:tabs>
              <w:spacing w:before="120" w:after="120"/>
              <w:rPr>
                <w:sz w:val="22"/>
                <w:szCs w:val="22"/>
              </w:rPr>
            </w:pPr>
            <w:r w:rsidRPr="00E34966">
              <w:rPr>
                <w:sz w:val="22"/>
                <w:szCs w:val="22"/>
              </w:rPr>
              <w:t>15-May-2031</w:t>
            </w:r>
            <w:r w:rsidRPr="00E34966">
              <w:rPr>
                <w:sz w:val="22"/>
                <w:szCs w:val="22"/>
              </w:rPr>
              <w:br/>
              <w:t>15-May-2032</w:t>
            </w:r>
            <w:r w:rsidRPr="00E34966">
              <w:rPr>
                <w:sz w:val="22"/>
                <w:szCs w:val="22"/>
              </w:rPr>
              <w:br/>
              <w:t>15-May-2033</w:t>
            </w:r>
            <w:r w:rsidRPr="00E34966">
              <w:rPr>
                <w:sz w:val="22"/>
                <w:szCs w:val="22"/>
              </w:rPr>
              <w:br/>
              <w:t>15-May-2034</w:t>
            </w:r>
            <w:r w:rsidRPr="00E34966">
              <w:rPr>
                <w:sz w:val="22"/>
                <w:szCs w:val="22"/>
              </w:rPr>
              <w:br/>
              <w:t>15-May-2035</w:t>
            </w:r>
          </w:p>
        </w:tc>
      </w:tr>
      <w:tr w:rsidR="00EC3692" w:rsidRPr="00E34966" w14:paraId="213C2460" w14:textId="77777777" w:rsidTr="00A71C2E">
        <w:trPr>
          <w:jc w:val="center"/>
        </w:trPr>
        <w:tc>
          <w:tcPr>
            <w:tcW w:w="2088" w:type="dxa"/>
          </w:tcPr>
          <w:p w14:paraId="15F70BB1"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Final Maturity Date</w:t>
            </w:r>
          </w:p>
        </w:tc>
        <w:tc>
          <w:tcPr>
            <w:tcW w:w="8712" w:type="dxa"/>
          </w:tcPr>
          <w:p w14:paraId="418833E8" w14:textId="77777777" w:rsidR="00EC3692" w:rsidRPr="00E34966" w:rsidRDefault="00E34966" w:rsidP="00446718">
            <w:pPr>
              <w:pStyle w:val="Header"/>
              <w:tabs>
                <w:tab w:val="clear" w:pos="4320"/>
                <w:tab w:val="clear" w:pos="8640"/>
              </w:tabs>
              <w:spacing w:before="120" w:after="120"/>
              <w:rPr>
                <w:sz w:val="22"/>
                <w:szCs w:val="22"/>
              </w:rPr>
            </w:pPr>
            <w:r w:rsidRPr="00E34966">
              <w:rPr>
                <w:sz w:val="22"/>
                <w:szCs w:val="22"/>
              </w:rPr>
              <w:t>15-May-2036</w:t>
            </w:r>
          </w:p>
        </w:tc>
      </w:tr>
      <w:tr w:rsidR="00EC3692" w:rsidRPr="00E34966" w14:paraId="4E75AC51" w14:textId="77777777" w:rsidTr="00A71C2E">
        <w:trPr>
          <w:jc w:val="center"/>
        </w:trPr>
        <w:tc>
          <w:tcPr>
            <w:tcW w:w="2088" w:type="dxa"/>
          </w:tcPr>
          <w:p w14:paraId="1B4C293B" w14:textId="77777777" w:rsidR="00EC3692" w:rsidRPr="00E34966" w:rsidRDefault="00EC3692" w:rsidP="007A1ADD">
            <w:pPr>
              <w:pStyle w:val="Header"/>
              <w:tabs>
                <w:tab w:val="clear" w:pos="4320"/>
                <w:tab w:val="clear" w:pos="8640"/>
              </w:tabs>
              <w:spacing w:before="120" w:after="120"/>
              <w:rPr>
                <w:b/>
                <w:bCs/>
                <w:sz w:val="22"/>
                <w:szCs w:val="22"/>
              </w:rPr>
            </w:pPr>
            <w:r w:rsidRPr="00E34966">
              <w:rPr>
                <w:b/>
                <w:bCs/>
                <w:sz w:val="22"/>
                <w:szCs w:val="22"/>
              </w:rPr>
              <w:t>Extension Feature</w:t>
            </w:r>
          </w:p>
        </w:tc>
        <w:tc>
          <w:tcPr>
            <w:tcW w:w="8712" w:type="dxa"/>
          </w:tcPr>
          <w:p w14:paraId="53D6724E" w14:textId="77777777" w:rsidR="0022426A" w:rsidRPr="00E34966" w:rsidRDefault="0022426A" w:rsidP="0022426A">
            <w:pPr>
              <w:pStyle w:val="Header"/>
              <w:tabs>
                <w:tab w:val="clear" w:pos="4320"/>
                <w:tab w:val="clear" w:pos="8640"/>
              </w:tabs>
              <w:spacing w:before="120" w:after="120"/>
              <w:rPr>
                <w:spacing w:val="-2"/>
                <w:sz w:val="22"/>
                <w:szCs w:val="22"/>
              </w:rPr>
            </w:pPr>
            <w:r w:rsidRPr="00E34966">
              <w:rPr>
                <w:spacing w:val="-2"/>
                <w:sz w:val="22"/>
                <w:szCs w:val="22"/>
              </w:rPr>
              <w:t>The Notes are extendible at the option of the Issuer on the Initial Maturity Date and on any Extended Maturity Date on which the Notes are outstanding, to the next following Maturity Date, at the Interest Rate set out below in respect of the relevant Interest Period, but in no event beyond the Final Maturity Date.</w:t>
            </w:r>
          </w:p>
          <w:p w14:paraId="64EC0B2D" w14:textId="77777777" w:rsidR="00EC3692" w:rsidRPr="00E34966" w:rsidRDefault="0022426A" w:rsidP="0022426A">
            <w:pPr>
              <w:pStyle w:val="Header"/>
              <w:tabs>
                <w:tab w:val="clear" w:pos="4320"/>
                <w:tab w:val="clear" w:pos="8640"/>
              </w:tabs>
              <w:spacing w:before="120" w:after="120"/>
              <w:rPr>
                <w:sz w:val="22"/>
                <w:szCs w:val="22"/>
              </w:rPr>
            </w:pPr>
            <w:r w:rsidRPr="00E34966">
              <w:rPr>
                <w:spacing w:val="-2"/>
                <w:sz w:val="22"/>
                <w:szCs w:val="22"/>
              </w:rPr>
              <w:t xml:space="preserve">The Issuer will be deemed to have exercised its option to extend the then applicable Maturity Date of the Notes to the next following Extended Maturity Date unless it provides notice in writing to </w:t>
            </w:r>
            <w:r w:rsidRPr="00E34966">
              <w:rPr>
                <w:spacing w:val="-2"/>
                <w:sz w:val="22"/>
                <w:szCs w:val="22"/>
              </w:rPr>
              <w:lastRenderedPageBreak/>
              <w:t>CDS, not less than 15 Toronto</w:t>
            </w:r>
            <w:r w:rsidR="005D75F8">
              <w:rPr>
                <w:spacing w:val="-2"/>
                <w:sz w:val="22"/>
                <w:szCs w:val="22"/>
              </w:rPr>
              <w:t xml:space="preserve"> and New York</w:t>
            </w:r>
            <w:r w:rsidRPr="00E34966">
              <w:rPr>
                <w:spacing w:val="-2"/>
                <w:sz w:val="22"/>
                <w:szCs w:val="22"/>
              </w:rPr>
              <w:t xml:space="preserve"> business days prior to the then applicable Maturity Date of the Notes, of its intention to redeem the Notes and not to extend the Maturity Date of the Notes.</w:t>
            </w:r>
          </w:p>
        </w:tc>
      </w:tr>
      <w:tr w:rsidR="00165D29" w:rsidRPr="00E34966" w14:paraId="0E8B9FCE" w14:textId="77777777" w:rsidTr="00A71C2E">
        <w:trPr>
          <w:jc w:val="center"/>
        </w:trPr>
        <w:tc>
          <w:tcPr>
            <w:tcW w:w="2088" w:type="dxa"/>
          </w:tcPr>
          <w:p w14:paraId="136079A4" w14:textId="77777777" w:rsidR="009959F1" w:rsidRPr="00E34966" w:rsidRDefault="009959F1" w:rsidP="00B20DAA">
            <w:pPr>
              <w:pStyle w:val="Revision"/>
              <w:spacing w:before="120" w:after="120"/>
              <w:rPr>
                <w:rFonts w:ascii="Times New Roman" w:hAnsi="Times New Roman"/>
                <w:b/>
                <w:bCs/>
                <w:spacing w:val="-2"/>
                <w:sz w:val="22"/>
                <w:szCs w:val="22"/>
              </w:rPr>
            </w:pPr>
          </w:p>
          <w:p w14:paraId="772756BA" w14:textId="77777777" w:rsidR="00165D29" w:rsidRPr="00E34966" w:rsidRDefault="00165D29" w:rsidP="00B20DAA">
            <w:pPr>
              <w:pStyle w:val="Revision"/>
              <w:spacing w:before="120" w:after="120"/>
              <w:rPr>
                <w:rFonts w:ascii="Times New Roman" w:hAnsi="Times New Roman"/>
                <w:b/>
                <w:bCs/>
                <w:spacing w:val="-2"/>
                <w:sz w:val="22"/>
                <w:szCs w:val="22"/>
              </w:rPr>
            </w:pPr>
            <w:r w:rsidRPr="00E34966">
              <w:rPr>
                <w:rFonts w:ascii="Times New Roman" w:hAnsi="Times New Roman"/>
                <w:b/>
                <w:bCs/>
                <w:spacing w:val="-2"/>
                <w:sz w:val="22"/>
                <w:szCs w:val="22"/>
              </w:rPr>
              <w:t xml:space="preserve">Day Count </w:t>
            </w:r>
          </w:p>
        </w:tc>
        <w:tc>
          <w:tcPr>
            <w:tcW w:w="8712" w:type="dxa"/>
          </w:tcPr>
          <w:p w14:paraId="3B3708B8" w14:textId="77777777" w:rsidR="009959F1" w:rsidRPr="00E34966" w:rsidRDefault="009959F1" w:rsidP="00B20DAA">
            <w:pPr>
              <w:pStyle w:val="Header"/>
              <w:tabs>
                <w:tab w:val="clear" w:pos="4320"/>
                <w:tab w:val="clear" w:pos="8640"/>
              </w:tabs>
              <w:spacing w:before="120" w:after="120"/>
              <w:rPr>
                <w:color w:val="FF0000"/>
                <w:spacing w:val="-2"/>
                <w:sz w:val="22"/>
                <w:szCs w:val="22"/>
              </w:rPr>
            </w:pPr>
          </w:p>
          <w:p w14:paraId="49564B17" w14:textId="77777777" w:rsidR="00165D29" w:rsidRPr="00E34966" w:rsidRDefault="000A2B06" w:rsidP="00B20DAA">
            <w:pPr>
              <w:pStyle w:val="Header"/>
              <w:tabs>
                <w:tab w:val="clear" w:pos="4320"/>
                <w:tab w:val="clear" w:pos="8640"/>
              </w:tabs>
              <w:spacing w:before="120" w:after="120"/>
              <w:rPr>
                <w:spacing w:val="-2"/>
                <w:sz w:val="22"/>
                <w:szCs w:val="22"/>
              </w:rPr>
            </w:pPr>
            <w:r w:rsidRPr="00E34966">
              <w:rPr>
                <w:spacing w:val="-2"/>
                <w:sz w:val="22"/>
                <w:szCs w:val="22"/>
              </w:rPr>
              <w:t>30/360</w:t>
            </w:r>
            <w:r w:rsidR="00165D29" w:rsidRPr="00E34966">
              <w:rPr>
                <w:spacing w:val="-2"/>
                <w:sz w:val="22"/>
                <w:szCs w:val="22"/>
              </w:rPr>
              <w:t xml:space="preserve"> </w:t>
            </w:r>
          </w:p>
        </w:tc>
      </w:tr>
      <w:tr w:rsidR="00165D29" w:rsidRPr="00E34966" w14:paraId="40D62B56" w14:textId="77777777" w:rsidTr="00A71C2E">
        <w:trPr>
          <w:jc w:val="center"/>
        </w:trPr>
        <w:tc>
          <w:tcPr>
            <w:tcW w:w="2088" w:type="dxa"/>
          </w:tcPr>
          <w:p w14:paraId="1D7E4B46" w14:textId="77777777" w:rsidR="00165D29" w:rsidRPr="00E34966" w:rsidRDefault="00165D29" w:rsidP="00B20DAA">
            <w:pPr>
              <w:pStyle w:val="Revision"/>
              <w:spacing w:before="120" w:after="120"/>
              <w:rPr>
                <w:rFonts w:ascii="Times New Roman" w:hAnsi="Times New Roman"/>
                <w:b/>
                <w:bCs/>
                <w:spacing w:val="-2"/>
                <w:sz w:val="22"/>
                <w:szCs w:val="22"/>
              </w:rPr>
            </w:pPr>
            <w:r w:rsidRPr="00E34966">
              <w:rPr>
                <w:rFonts w:ascii="Times New Roman" w:hAnsi="Times New Roman"/>
                <w:b/>
                <w:bCs/>
                <w:spacing w:val="-2"/>
                <w:sz w:val="22"/>
                <w:szCs w:val="22"/>
              </w:rPr>
              <w:t>Business Day Convention</w:t>
            </w:r>
          </w:p>
        </w:tc>
        <w:tc>
          <w:tcPr>
            <w:tcW w:w="8712" w:type="dxa"/>
          </w:tcPr>
          <w:p w14:paraId="111A8111" w14:textId="77777777" w:rsidR="00165D29" w:rsidRPr="00E34966" w:rsidRDefault="00165D29" w:rsidP="00B20DAA">
            <w:pPr>
              <w:pStyle w:val="Header"/>
              <w:tabs>
                <w:tab w:val="clear" w:pos="4320"/>
                <w:tab w:val="clear" w:pos="8640"/>
              </w:tabs>
              <w:spacing w:before="120" w:after="120"/>
              <w:rPr>
                <w:spacing w:val="-2"/>
                <w:sz w:val="22"/>
                <w:szCs w:val="22"/>
              </w:rPr>
            </w:pPr>
            <w:r w:rsidRPr="00E34966">
              <w:rPr>
                <w:spacing w:val="-2"/>
                <w:sz w:val="22"/>
                <w:szCs w:val="22"/>
              </w:rPr>
              <w:t>Following, Unadjusted</w:t>
            </w:r>
          </w:p>
        </w:tc>
      </w:tr>
      <w:tr w:rsidR="00A71C2E" w:rsidRPr="00E34966" w14:paraId="5DB2C329" w14:textId="77777777" w:rsidTr="00A71C2E">
        <w:trPr>
          <w:trHeight w:val="656"/>
          <w:jc w:val="center"/>
        </w:trPr>
        <w:tc>
          <w:tcPr>
            <w:tcW w:w="2088" w:type="dxa"/>
          </w:tcPr>
          <w:p w14:paraId="73496AFD" w14:textId="77777777" w:rsidR="00A71C2E" w:rsidRPr="00E34966" w:rsidRDefault="00A71C2E" w:rsidP="00A71C2E">
            <w:pPr>
              <w:pStyle w:val="Revision"/>
              <w:spacing w:before="120" w:after="120"/>
              <w:rPr>
                <w:rFonts w:ascii="Times New Roman" w:hAnsi="Times New Roman"/>
                <w:b/>
                <w:bCs/>
                <w:spacing w:val="-2"/>
                <w:sz w:val="22"/>
                <w:szCs w:val="22"/>
              </w:rPr>
            </w:pPr>
            <w:r w:rsidRPr="00E34966">
              <w:rPr>
                <w:rFonts w:ascii="Times New Roman" w:hAnsi="Times New Roman"/>
                <w:b/>
                <w:bCs/>
                <w:spacing w:val="-2"/>
                <w:sz w:val="22"/>
                <w:szCs w:val="22"/>
              </w:rPr>
              <w:t>Linear Accrual Rate</w:t>
            </w:r>
          </w:p>
          <w:p w14:paraId="629A6990" w14:textId="77777777" w:rsidR="00A71C2E" w:rsidRPr="00E34966" w:rsidRDefault="00A71C2E" w:rsidP="00A71C2E">
            <w:pPr>
              <w:pStyle w:val="Header"/>
              <w:tabs>
                <w:tab w:val="clear" w:pos="4320"/>
                <w:tab w:val="clear" w:pos="8640"/>
              </w:tabs>
              <w:spacing w:before="120" w:after="120"/>
              <w:rPr>
                <w:b/>
                <w:bCs/>
                <w:spacing w:val="-2"/>
                <w:sz w:val="22"/>
                <w:szCs w:val="22"/>
              </w:rPr>
            </w:pPr>
          </w:p>
        </w:tc>
        <w:tc>
          <w:tcPr>
            <w:tcW w:w="8712" w:type="dxa"/>
          </w:tcPr>
          <w:p w14:paraId="58D0AAAE" w14:textId="77777777" w:rsidR="00A71C2E" w:rsidRPr="00E34966" w:rsidRDefault="00A71C2E" w:rsidP="00A71C2E">
            <w:pPr>
              <w:pStyle w:val="Header"/>
              <w:tabs>
                <w:tab w:val="clear" w:pos="4320"/>
                <w:tab w:val="clear" w:pos="8640"/>
              </w:tabs>
              <w:spacing w:before="120" w:after="120"/>
              <w:rPr>
                <w:spacing w:val="-2"/>
                <w:sz w:val="22"/>
                <w:szCs w:val="22"/>
              </w:rPr>
            </w:pPr>
            <w:r w:rsidRPr="00E34966">
              <w:rPr>
                <w:spacing w:val="-2"/>
                <w:sz w:val="22"/>
                <w:szCs w:val="22"/>
              </w:rPr>
              <w:t xml:space="preserve">The redemption amount of the Notes, consisting of the principal </w:t>
            </w:r>
            <w:proofErr w:type="gramStart"/>
            <w:r w:rsidRPr="00E34966">
              <w:rPr>
                <w:spacing w:val="-2"/>
                <w:sz w:val="22"/>
                <w:szCs w:val="22"/>
              </w:rPr>
              <w:t>amount</w:t>
            </w:r>
            <w:proofErr w:type="gramEnd"/>
            <w:r w:rsidRPr="00E34966">
              <w:rPr>
                <w:spacing w:val="-2"/>
                <w:sz w:val="22"/>
                <w:szCs w:val="22"/>
              </w:rPr>
              <w:t xml:space="preserve"> of Notes plus accrued interest, increases at a linear rate of 6.51% per annum on a simple (non-compounding) basis, calculated annually. </w:t>
            </w:r>
          </w:p>
          <w:p w14:paraId="5830A83B" w14:textId="77777777" w:rsidR="00A71C2E" w:rsidRPr="00E34966" w:rsidRDefault="00A71C2E" w:rsidP="00A71C2E">
            <w:pPr>
              <w:jc w:val="center"/>
              <w:rPr>
                <w:rFonts w:ascii="Times New Roman" w:eastAsia="Times New Roman" w:hAnsi="Times New Roman"/>
                <w:spacing w:val="-2"/>
                <w:sz w:val="22"/>
                <w:szCs w:val="22"/>
                <w:u w:val="single"/>
              </w:rPr>
            </w:pPr>
          </w:p>
        </w:tc>
      </w:tr>
    </w:tbl>
    <w:p w14:paraId="2DF5F308" w14:textId="77777777" w:rsidR="0062478B" w:rsidRDefault="0062478B" w:rsidP="0062478B">
      <w:pPr>
        <w:suppressAutoHyphens/>
        <w:spacing w:after="240"/>
        <w:jc w:val="center"/>
        <w:rPr>
          <w:rFonts w:ascii="Times New Roman" w:hAnsi="Times New Roman"/>
          <w:b/>
          <w:sz w:val="22"/>
          <w:szCs w:val="22"/>
        </w:rPr>
      </w:pPr>
      <w:r>
        <w:rPr>
          <w:rFonts w:ascii="Times New Roman" w:hAnsi="Times New Roman"/>
          <w:b/>
          <w:sz w:val="22"/>
          <w:szCs w:val="22"/>
        </w:rPr>
        <w:t>Issuer Redemption Schedule</w:t>
      </w:r>
    </w:p>
    <w:tbl>
      <w:tblPr>
        <w:tblW w:w="0" w:type="auto"/>
        <w:tblLook w:val="04A0" w:firstRow="1" w:lastRow="0" w:firstColumn="1" w:lastColumn="0" w:noHBand="0" w:noVBand="1"/>
      </w:tblPr>
      <w:tblGrid>
        <w:gridCol w:w="2340"/>
        <w:gridCol w:w="2340"/>
        <w:gridCol w:w="2340"/>
        <w:gridCol w:w="2340"/>
      </w:tblGrid>
      <w:tr w:rsidR="00F4142D" w14:paraId="08E3F458" w14:textId="77777777">
        <w:tc>
          <w:tcPr>
            <w:tcW w:w="2340" w:type="dxa"/>
          </w:tcPr>
          <w:p w14:paraId="4F794C67" w14:textId="77777777" w:rsidR="00F4142D" w:rsidRDefault="007140C5">
            <w:pPr>
              <w:jc w:val="center"/>
            </w:pPr>
            <w:r>
              <w:rPr>
                <w:rFonts w:ascii="Times New Roman" w:hAnsi="Times New Roman"/>
                <w:b/>
                <w:sz w:val="22"/>
              </w:rPr>
              <w:t>Years</w:t>
            </w:r>
          </w:p>
        </w:tc>
        <w:tc>
          <w:tcPr>
            <w:tcW w:w="2340" w:type="dxa"/>
          </w:tcPr>
          <w:p w14:paraId="7B74E4BB" w14:textId="77777777" w:rsidR="00F4142D" w:rsidRDefault="007140C5">
            <w:pPr>
              <w:jc w:val="center"/>
            </w:pPr>
            <w:r>
              <w:rPr>
                <w:rFonts w:ascii="Times New Roman" w:hAnsi="Times New Roman"/>
                <w:b/>
                <w:sz w:val="22"/>
              </w:rPr>
              <w:t>Initial Maturity Date</w:t>
            </w:r>
          </w:p>
        </w:tc>
        <w:tc>
          <w:tcPr>
            <w:tcW w:w="2340" w:type="dxa"/>
          </w:tcPr>
          <w:p w14:paraId="4E77C78E" w14:textId="77777777" w:rsidR="00F4142D" w:rsidRDefault="007140C5">
            <w:pPr>
              <w:jc w:val="center"/>
            </w:pPr>
            <w:r>
              <w:rPr>
                <w:rFonts w:ascii="Times New Roman" w:hAnsi="Times New Roman"/>
                <w:b/>
                <w:sz w:val="22"/>
              </w:rPr>
              <w:t>Redemption Amount</w:t>
            </w:r>
          </w:p>
        </w:tc>
        <w:tc>
          <w:tcPr>
            <w:tcW w:w="2340" w:type="dxa"/>
          </w:tcPr>
          <w:p w14:paraId="642F6288" w14:textId="77777777" w:rsidR="00F4142D" w:rsidRDefault="007140C5">
            <w:pPr>
              <w:jc w:val="center"/>
            </w:pPr>
            <w:r>
              <w:rPr>
                <w:rFonts w:ascii="Times New Roman" w:hAnsi="Times New Roman"/>
                <w:b/>
                <w:sz w:val="22"/>
              </w:rPr>
              <w:t>Annualized Return (%)</w:t>
            </w:r>
          </w:p>
        </w:tc>
      </w:tr>
      <w:tr w:rsidR="00F4142D" w14:paraId="367B1A81" w14:textId="77777777">
        <w:tc>
          <w:tcPr>
            <w:tcW w:w="2340" w:type="dxa"/>
          </w:tcPr>
          <w:p w14:paraId="2C218DE4" w14:textId="77777777" w:rsidR="00F4142D" w:rsidRDefault="007140C5">
            <w:pPr>
              <w:jc w:val="center"/>
            </w:pPr>
            <w:r>
              <w:rPr>
                <w:rFonts w:ascii="Times New Roman" w:hAnsi="Times New Roman"/>
                <w:sz w:val="22"/>
              </w:rPr>
              <w:t>4</w:t>
            </w:r>
          </w:p>
        </w:tc>
        <w:tc>
          <w:tcPr>
            <w:tcW w:w="2340" w:type="dxa"/>
          </w:tcPr>
          <w:p w14:paraId="1E4D26F7" w14:textId="77777777" w:rsidR="00F4142D" w:rsidRDefault="007140C5">
            <w:pPr>
              <w:jc w:val="center"/>
            </w:pPr>
            <w:r>
              <w:rPr>
                <w:rFonts w:ascii="Times New Roman" w:hAnsi="Times New Roman"/>
                <w:sz w:val="22"/>
              </w:rPr>
              <w:t>15-May-2030</w:t>
            </w:r>
          </w:p>
        </w:tc>
        <w:tc>
          <w:tcPr>
            <w:tcW w:w="2340" w:type="dxa"/>
          </w:tcPr>
          <w:p w14:paraId="10DCA1FB" w14:textId="77777777" w:rsidR="00F4142D" w:rsidRDefault="007140C5">
            <w:pPr>
              <w:jc w:val="center"/>
            </w:pPr>
            <w:r>
              <w:rPr>
                <w:rFonts w:ascii="Times New Roman" w:hAnsi="Times New Roman"/>
                <w:sz w:val="22"/>
              </w:rPr>
              <w:t>126.04</w:t>
            </w:r>
          </w:p>
        </w:tc>
        <w:tc>
          <w:tcPr>
            <w:tcW w:w="2340" w:type="dxa"/>
          </w:tcPr>
          <w:p w14:paraId="7B3EE243" w14:textId="77777777" w:rsidR="00F4142D" w:rsidRDefault="007140C5">
            <w:pPr>
              <w:jc w:val="center"/>
            </w:pPr>
            <w:r>
              <w:rPr>
                <w:rFonts w:ascii="Times New Roman" w:hAnsi="Times New Roman"/>
                <w:sz w:val="22"/>
              </w:rPr>
              <w:t>5.956%</w:t>
            </w:r>
          </w:p>
        </w:tc>
      </w:tr>
      <w:tr w:rsidR="00F4142D" w14:paraId="7EC6AFBE" w14:textId="77777777">
        <w:tc>
          <w:tcPr>
            <w:tcW w:w="2340" w:type="dxa"/>
          </w:tcPr>
          <w:p w14:paraId="2BB48B93" w14:textId="77777777" w:rsidR="00F4142D" w:rsidRDefault="007140C5">
            <w:pPr>
              <w:jc w:val="center"/>
            </w:pPr>
            <w:r>
              <w:rPr>
                <w:rFonts w:ascii="Times New Roman" w:hAnsi="Times New Roman"/>
                <w:b/>
                <w:sz w:val="22"/>
              </w:rPr>
              <w:t>Years</w:t>
            </w:r>
          </w:p>
        </w:tc>
        <w:tc>
          <w:tcPr>
            <w:tcW w:w="2340" w:type="dxa"/>
          </w:tcPr>
          <w:p w14:paraId="485B4F88" w14:textId="77777777" w:rsidR="00F4142D" w:rsidRDefault="007140C5">
            <w:pPr>
              <w:jc w:val="center"/>
            </w:pPr>
            <w:r>
              <w:rPr>
                <w:rFonts w:ascii="Times New Roman" w:hAnsi="Times New Roman"/>
                <w:b/>
                <w:sz w:val="22"/>
              </w:rPr>
              <w:t>Extended Maturity Date</w:t>
            </w:r>
          </w:p>
        </w:tc>
        <w:tc>
          <w:tcPr>
            <w:tcW w:w="2340" w:type="dxa"/>
          </w:tcPr>
          <w:p w14:paraId="7206F908" w14:textId="77777777" w:rsidR="00F4142D" w:rsidRDefault="007140C5">
            <w:pPr>
              <w:jc w:val="center"/>
            </w:pPr>
            <w:r>
              <w:rPr>
                <w:rFonts w:ascii="Times New Roman" w:hAnsi="Times New Roman"/>
                <w:b/>
                <w:sz w:val="22"/>
              </w:rPr>
              <w:t>Redemption Amount</w:t>
            </w:r>
          </w:p>
        </w:tc>
        <w:tc>
          <w:tcPr>
            <w:tcW w:w="2340" w:type="dxa"/>
          </w:tcPr>
          <w:p w14:paraId="108CA5F0" w14:textId="77777777" w:rsidR="00F4142D" w:rsidRDefault="007140C5">
            <w:pPr>
              <w:jc w:val="center"/>
            </w:pPr>
            <w:r>
              <w:rPr>
                <w:rFonts w:ascii="Times New Roman" w:hAnsi="Times New Roman"/>
                <w:b/>
                <w:sz w:val="22"/>
              </w:rPr>
              <w:t>Annualized Return (%)</w:t>
            </w:r>
          </w:p>
        </w:tc>
      </w:tr>
      <w:tr w:rsidR="00F4142D" w14:paraId="5EBD94B8" w14:textId="77777777">
        <w:tc>
          <w:tcPr>
            <w:tcW w:w="2340" w:type="dxa"/>
          </w:tcPr>
          <w:p w14:paraId="2750F7C6" w14:textId="77777777" w:rsidR="00F4142D" w:rsidRDefault="007140C5">
            <w:pPr>
              <w:jc w:val="center"/>
            </w:pPr>
            <w:r>
              <w:rPr>
                <w:rFonts w:ascii="Times New Roman" w:hAnsi="Times New Roman"/>
                <w:sz w:val="22"/>
              </w:rPr>
              <w:t>5</w:t>
            </w:r>
          </w:p>
        </w:tc>
        <w:tc>
          <w:tcPr>
            <w:tcW w:w="2340" w:type="dxa"/>
          </w:tcPr>
          <w:p w14:paraId="683E2232" w14:textId="77777777" w:rsidR="00F4142D" w:rsidRDefault="007140C5">
            <w:pPr>
              <w:jc w:val="center"/>
            </w:pPr>
            <w:r>
              <w:rPr>
                <w:rFonts w:ascii="Times New Roman" w:hAnsi="Times New Roman"/>
                <w:sz w:val="22"/>
              </w:rPr>
              <w:t>15-May-2031</w:t>
            </w:r>
          </w:p>
        </w:tc>
        <w:tc>
          <w:tcPr>
            <w:tcW w:w="2340" w:type="dxa"/>
          </w:tcPr>
          <w:p w14:paraId="32B2CC01" w14:textId="77777777" w:rsidR="00F4142D" w:rsidRDefault="007140C5">
            <w:pPr>
              <w:jc w:val="center"/>
            </w:pPr>
            <w:r>
              <w:rPr>
                <w:rFonts w:ascii="Times New Roman" w:hAnsi="Times New Roman"/>
                <w:sz w:val="22"/>
              </w:rPr>
              <w:t>132.55</w:t>
            </w:r>
          </w:p>
        </w:tc>
        <w:tc>
          <w:tcPr>
            <w:tcW w:w="2340" w:type="dxa"/>
          </w:tcPr>
          <w:p w14:paraId="1049152A" w14:textId="77777777" w:rsidR="00F4142D" w:rsidRDefault="007140C5">
            <w:pPr>
              <w:jc w:val="center"/>
            </w:pPr>
            <w:r>
              <w:rPr>
                <w:rFonts w:ascii="Times New Roman" w:hAnsi="Times New Roman"/>
                <w:sz w:val="22"/>
              </w:rPr>
              <w:t>5.798%</w:t>
            </w:r>
          </w:p>
        </w:tc>
      </w:tr>
      <w:tr w:rsidR="00F4142D" w14:paraId="0F467ACF" w14:textId="77777777">
        <w:tc>
          <w:tcPr>
            <w:tcW w:w="2340" w:type="dxa"/>
          </w:tcPr>
          <w:p w14:paraId="29FF33FB" w14:textId="77777777" w:rsidR="00F4142D" w:rsidRDefault="007140C5">
            <w:pPr>
              <w:jc w:val="center"/>
            </w:pPr>
            <w:r>
              <w:rPr>
                <w:rFonts w:ascii="Times New Roman" w:hAnsi="Times New Roman"/>
                <w:sz w:val="22"/>
              </w:rPr>
              <w:t>6</w:t>
            </w:r>
          </w:p>
        </w:tc>
        <w:tc>
          <w:tcPr>
            <w:tcW w:w="2340" w:type="dxa"/>
          </w:tcPr>
          <w:p w14:paraId="3E79F58E" w14:textId="77777777" w:rsidR="00F4142D" w:rsidRDefault="007140C5">
            <w:pPr>
              <w:jc w:val="center"/>
            </w:pPr>
            <w:r>
              <w:rPr>
                <w:rFonts w:ascii="Times New Roman" w:hAnsi="Times New Roman"/>
                <w:sz w:val="22"/>
              </w:rPr>
              <w:t>15-May-2032</w:t>
            </w:r>
          </w:p>
        </w:tc>
        <w:tc>
          <w:tcPr>
            <w:tcW w:w="2340" w:type="dxa"/>
          </w:tcPr>
          <w:p w14:paraId="67CE2C77" w14:textId="77777777" w:rsidR="00F4142D" w:rsidRDefault="007140C5">
            <w:pPr>
              <w:jc w:val="center"/>
            </w:pPr>
            <w:r>
              <w:rPr>
                <w:rFonts w:ascii="Times New Roman" w:hAnsi="Times New Roman"/>
                <w:sz w:val="22"/>
              </w:rPr>
              <w:t>139.06</w:t>
            </w:r>
          </w:p>
        </w:tc>
        <w:tc>
          <w:tcPr>
            <w:tcW w:w="2340" w:type="dxa"/>
          </w:tcPr>
          <w:p w14:paraId="6B8CAFF0" w14:textId="77777777" w:rsidR="00F4142D" w:rsidRDefault="007140C5">
            <w:pPr>
              <w:jc w:val="center"/>
            </w:pPr>
            <w:r>
              <w:rPr>
                <w:rFonts w:ascii="Times New Roman" w:hAnsi="Times New Roman"/>
                <w:sz w:val="22"/>
              </w:rPr>
              <w:t>5.649%</w:t>
            </w:r>
          </w:p>
        </w:tc>
      </w:tr>
      <w:tr w:rsidR="00F4142D" w14:paraId="76CDFE69" w14:textId="77777777">
        <w:tc>
          <w:tcPr>
            <w:tcW w:w="2340" w:type="dxa"/>
          </w:tcPr>
          <w:p w14:paraId="1DE20AFA" w14:textId="77777777" w:rsidR="00F4142D" w:rsidRDefault="007140C5">
            <w:pPr>
              <w:jc w:val="center"/>
            </w:pPr>
            <w:r>
              <w:rPr>
                <w:rFonts w:ascii="Times New Roman" w:hAnsi="Times New Roman"/>
                <w:sz w:val="22"/>
              </w:rPr>
              <w:t>7</w:t>
            </w:r>
          </w:p>
        </w:tc>
        <w:tc>
          <w:tcPr>
            <w:tcW w:w="2340" w:type="dxa"/>
          </w:tcPr>
          <w:p w14:paraId="03CBE002" w14:textId="77777777" w:rsidR="00F4142D" w:rsidRDefault="007140C5">
            <w:pPr>
              <w:jc w:val="center"/>
            </w:pPr>
            <w:r>
              <w:rPr>
                <w:rFonts w:ascii="Times New Roman" w:hAnsi="Times New Roman"/>
                <w:sz w:val="22"/>
              </w:rPr>
              <w:t>15-May-2033</w:t>
            </w:r>
          </w:p>
        </w:tc>
        <w:tc>
          <w:tcPr>
            <w:tcW w:w="2340" w:type="dxa"/>
          </w:tcPr>
          <w:p w14:paraId="3F5D4F45" w14:textId="77777777" w:rsidR="00F4142D" w:rsidRDefault="007140C5">
            <w:pPr>
              <w:jc w:val="center"/>
            </w:pPr>
            <w:r>
              <w:rPr>
                <w:rFonts w:ascii="Times New Roman" w:hAnsi="Times New Roman"/>
                <w:sz w:val="22"/>
              </w:rPr>
              <w:t>145.57</w:t>
            </w:r>
          </w:p>
        </w:tc>
        <w:tc>
          <w:tcPr>
            <w:tcW w:w="2340" w:type="dxa"/>
          </w:tcPr>
          <w:p w14:paraId="79B6D9C9" w14:textId="77777777" w:rsidR="00F4142D" w:rsidRDefault="007140C5">
            <w:pPr>
              <w:jc w:val="center"/>
            </w:pPr>
            <w:r>
              <w:rPr>
                <w:rFonts w:ascii="Times New Roman" w:hAnsi="Times New Roman"/>
                <w:sz w:val="22"/>
              </w:rPr>
              <w:t>5.511%</w:t>
            </w:r>
          </w:p>
        </w:tc>
      </w:tr>
      <w:tr w:rsidR="00F4142D" w14:paraId="115F9CA0" w14:textId="77777777">
        <w:tc>
          <w:tcPr>
            <w:tcW w:w="2340" w:type="dxa"/>
          </w:tcPr>
          <w:p w14:paraId="57A5EEDD" w14:textId="77777777" w:rsidR="00F4142D" w:rsidRDefault="007140C5">
            <w:pPr>
              <w:jc w:val="center"/>
            </w:pPr>
            <w:r>
              <w:rPr>
                <w:rFonts w:ascii="Times New Roman" w:hAnsi="Times New Roman"/>
                <w:sz w:val="22"/>
              </w:rPr>
              <w:t>8</w:t>
            </w:r>
          </w:p>
        </w:tc>
        <w:tc>
          <w:tcPr>
            <w:tcW w:w="2340" w:type="dxa"/>
          </w:tcPr>
          <w:p w14:paraId="13C983B5" w14:textId="77777777" w:rsidR="00F4142D" w:rsidRDefault="007140C5">
            <w:pPr>
              <w:jc w:val="center"/>
            </w:pPr>
            <w:r>
              <w:rPr>
                <w:rFonts w:ascii="Times New Roman" w:hAnsi="Times New Roman"/>
                <w:sz w:val="22"/>
              </w:rPr>
              <w:t>15-May-2034</w:t>
            </w:r>
          </w:p>
        </w:tc>
        <w:tc>
          <w:tcPr>
            <w:tcW w:w="2340" w:type="dxa"/>
          </w:tcPr>
          <w:p w14:paraId="34CE6E0D" w14:textId="77777777" w:rsidR="00F4142D" w:rsidRDefault="007140C5">
            <w:pPr>
              <w:jc w:val="center"/>
            </w:pPr>
            <w:r>
              <w:rPr>
                <w:rFonts w:ascii="Times New Roman" w:hAnsi="Times New Roman"/>
                <w:sz w:val="22"/>
              </w:rPr>
              <w:t>152.08</w:t>
            </w:r>
          </w:p>
        </w:tc>
        <w:tc>
          <w:tcPr>
            <w:tcW w:w="2340" w:type="dxa"/>
          </w:tcPr>
          <w:p w14:paraId="6E60C482" w14:textId="77777777" w:rsidR="00F4142D" w:rsidRDefault="007140C5">
            <w:pPr>
              <w:jc w:val="center"/>
            </w:pPr>
            <w:r>
              <w:rPr>
                <w:rFonts w:ascii="Times New Roman" w:hAnsi="Times New Roman"/>
                <w:sz w:val="22"/>
              </w:rPr>
              <w:t>5.380%</w:t>
            </w:r>
          </w:p>
        </w:tc>
      </w:tr>
      <w:tr w:rsidR="00F4142D" w14:paraId="66468C52" w14:textId="77777777">
        <w:tc>
          <w:tcPr>
            <w:tcW w:w="2340" w:type="dxa"/>
          </w:tcPr>
          <w:p w14:paraId="1C086119" w14:textId="77777777" w:rsidR="00F4142D" w:rsidRDefault="007140C5">
            <w:pPr>
              <w:jc w:val="center"/>
            </w:pPr>
            <w:r>
              <w:rPr>
                <w:rFonts w:ascii="Times New Roman" w:hAnsi="Times New Roman"/>
                <w:sz w:val="22"/>
              </w:rPr>
              <w:t>9</w:t>
            </w:r>
          </w:p>
        </w:tc>
        <w:tc>
          <w:tcPr>
            <w:tcW w:w="2340" w:type="dxa"/>
          </w:tcPr>
          <w:p w14:paraId="0881ADB0" w14:textId="77777777" w:rsidR="00F4142D" w:rsidRDefault="007140C5">
            <w:pPr>
              <w:jc w:val="center"/>
            </w:pPr>
            <w:r>
              <w:rPr>
                <w:rFonts w:ascii="Times New Roman" w:hAnsi="Times New Roman"/>
                <w:sz w:val="22"/>
              </w:rPr>
              <w:t>15-May-2035</w:t>
            </w:r>
          </w:p>
        </w:tc>
        <w:tc>
          <w:tcPr>
            <w:tcW w:w="2340" w:type="dxa"/>
          </w:tcPr>
          <w:p w14:paraId="71F0F5DA" w14:textId="77777777" w:rsidR="00F4142D" w:rsidRDefault="007140C5">
            <w:pPr>
              <w:jc w:val="center"/>
            </w:pPr>
            <w:r>
              <w:rPr>
                <w:rFonts w:ascii="Times New Roman" w:hAnsi="Times New Roman"/>
                <w:sz w:val="22"/>
              </w:rPr>
              <w:t>158.59</w:t>
            </w:r>
          </w:p>
        </w:tc>
        <w:tc>
          <w:tcPr>
            <w:tcW w:w="2340" w:type="dxa"/>
          </w:tcPr>
          <w:p w14:paraId="44149FE2" w14:textId="77777777" w:rsidR="00F4142D" w:rsidRDefault="007140C5">
            <w:pPr>
              <w:jc w:val="center"/>
            </w:pPr>
            <w:r>
              <w:rPr>
                <w:rFonts w:ascii="Times New Roman" w:hAnsi="Times New Roman"/>
                <w:sz w:val="22"/>
              </w:rPr>
              <w:t>5.257%</w:t>
            </w:r>
          </w:p>
        </w:tc>
      </w:tr>
      <w:tr w:rsidR="00F4142D" w14:paraId="2C5F646A" w14:textId="77777777">
        <w:tc>
          <w:tcPr>
            <w:tcW w:w="2340" w:type="dxa"/>
          </w:tcPr>
          <w:p w14:paraId="3B822338" w14:textId="77777777" w:rsidR="00F4142D" w:rsidRDefault="007140C5">
            <w:pPr>
              <w:jc w:val="center"/>
            </w:pPr>
            <w:r>
              <w:rPr>
                <w:rFonts w:ascii="Times New Roman" w:hAnsi="Times New Roman"/>
                <w:b/>
                <w:sz w:val="22"/>
              </w:rPr>
              <w:t>Years</w:t>
            </w:r>
          </w:p>
        </w:tc>
        <w:tc>
          <w:tcPr>
            <w:tcW w:w="2340" w:type="dxa"/>
          </w:tcPr>
          <w:p w14:paraId="0A8DF7BC" w14:textId="77777777" w:rsidR="00F4142D" w:rsidRDefault="007140C5">
            <w:pPr>
              <w:jc w:val="center"/>
            </w:pPr>
            <w:r>
              <w:rPr>
                <w:rFonts w:ascii="Times New Roman" w:hAnsi="Times New Roman"/>
                <w:b/>
                <w:sz w:val="22"/>
              </w:rPr>
              <w:t>Final Maturity Date</w:t>
            </w:r>
          </w:p>
        </w:tc>
        <w:tc>
          <w:tcPr>
            <w:tcW w:w="2340" w:type="dxa"/>
          </w:tcPr>
          <w:p w14:paraId="0365995A" w14:textId="77777777" w:rsidR="00F4142D" w:rsidRDefault="007140C5">
            <w:pPr>
              <w:jc w:val="center"/>
            </w:pPr>
            <w:r>
              <w:rPr>
                <w:rFonts w:ascii="Times New Roman" w:hAnsi="Times New Roman"/>
                <w:b/>
                <w:sz w:val="22"/>
              </w:rPr>
              <w:t>Redemption Amount</w:t>
            </w:r>
          </w:p>
        </w:tc>
        <w:tc>
          <w:tcPr>
            <w:tcW w:w="2340" w:type="dxa"/>
          </w:tcPr>
          <w:p w14:paraId="6BB8D20E" w14:textId="77777777" w:rsidR="00F4142D" w:rsidRDefault="007140C5">
            <w:pPr>
              <w:jc w:val="center"/>
            </w:pPr>
            <w:r>
              <w:rPr>
                <w:rFonts w:ascii="Times New Roman" w:hAnsi="Times New Roman"/>
                <w:b/>
                <w:sz w:val="22"/>
              </w:rPr>
              <w:t>Annualized Return (%)</w:t>
            </w:r>
          </w:p>
        </w:tc>
      </w:tr>
      <w:tr w:rsidR="00F4142D" w14:paraId="1020D2DA" w14:textId="77777777">
        <w:tc>
          <w:tcPr>
            <w:tcW w:w="2340" w:type="dxa"/>
          </w:tcPr>
          <w:p w14:paraId="629BFDC3" w14:textId="77777777" w:rsidR="00F4142D" w:rsidRDefault="007140C5">
            <w:pPr>
              <w:jc w:val="center"/>
            </w:pPr>
            <w:r>
              <w:rPr>
                <w:rFonts w:ascii="Times New Roman" w:hAnsi="Times New Roman"/>
                <w:sz w:val="22"/>
              </w:rPr>
              <w:t>10</w:t>
            </w:r>
          </w:p>
        </w:tc>
        <w:tc>
          <w:tcPr>
            <w:tcW w:w="2340" w:type="dxa"/>
          </w:tcPr>
          <w:p w14:paraId="15631814" w14:textId="77777777" w:rsidR="00F4142D" w:rsidRDefault="007140C5">
            <w:pPr>
              <w:jc w:val="center"/>
            </w:pPr>
            <w:r>
              <w:rPr>
                <w:rFonts w:ascii="Times New Roman" w:hAnsi="Times New Roman"/>
                <w:sz w:val="22"/>
              </w:rPr>
              <w:t>15-May-2036</w:t>
            </w:r>
          </w:p>
        </w:tc>
        <w:tc>
          <w:tcPr>
            <w:tcW w:w="2340" w:type="dxa"/>
          </w:tcPr>
          <w:p w14:paraId="159F82DF" w14:textId="77777777" w:rsidR="00F4142D" w:rsidRDefault="007140C5">
            <w:pPr>
              <w:jc w:val="center"/>
            </w:pPr>
            <w:r>
              <w:rPr>
                <w:rFonts w:ascii="Times New Roman" w:hAnsi="Times New Roman"/>
                <w:sz w:val="22"/>
              </w:rPr>
              <w:t>165.10</w:t>
            </w:r>
          </w:p>
        </w:tc>
        <w:tc>
          <w:tcPr>
            <w:tcW w:w="2340" w:type="dxa"/>
          </w:tcPr>
          <w:p w14:paraId="236C630E" w14:textId="77777777" w:rsidR="00F4142D" w:rsidRDefault="007140C5">
            <w:pPr>
              <w:jc w:val="center"/>
            </w:pPr>
            <w:r>
              <w:rPr>
                <w:rFonts w:ascii="Times New Roman" w:hAnsi="Times New Roman"/>
                <w:sz w:val="22"/>
              </w:rPr>
              <w:t>5.142%</w:t>
            </w:r>
          </w:p>
        </w:tc>
      </w:tr>
    </w:tbl>
    <w:p w14:paraId="5645A29A" w14:textId="77777777" w:rsidR="00AB7CF7" w:rsidRDefault="00AB7CF7" w:rsidP="0062478B">
      <w:pPr>
        <w:suppressAutoHyphens/>
        <w:spacing w:after="240"/>
        <w:jc w:val="center"/>
        <w:rPr>
          <w:rFonts w:ascii="Times New Roman" w:hAnsi="Times New Roman"/>
          <w:b/>
          <w:sz w:val="22"/>
          <w:szCs w:val="22"/>
        </w:rPr>
      </w:pPr>
    </w:p>
    <w:tbl>
      <w:tblPr>
        <w:tblW w:w="10800" w:type="dxa"/>
        <w:jc w:val="center"/>
        <w:tblLook w:val="0000" w:firstRow="0" w:lastRow="0" w:firstColumn="0" w:lastColumn="0" w:noHBand="0" w:noVBand="0"/>
      </w:tblPr>
      <w:tblGrid>
        <w:gridCol w:w="2088"/>
        <w:gridCol w:w="8712"/>
      </w:tblGrid>
      <w:tr w:rsidR="0062478B" w:rsidRPr="00E34966" w14:paraId="7BEE8688" w14:textId="77777777" w:rsidTr="009F0619">
        <w:trPr>
          <w:jc w:val="center"/>
        </w:trPr>
        <w:tc>
          <w:tcPr>
            <w:tcW w:w="2088" w:type="dxa"/>
          </w:tcPr>
          <w:p w14:paraId="487BCAA2"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Redemption</w:t>
            </w:r>
          </w:p>
        </w:tc>
        <w:tc>
          <w:tcPr>
            <w:tcW w:w="8712" w:type="dxa"/>
          </w:tcPr>
          <w:p w14:paraId="501976C7" w14:textId="77777777" w:rsidR="0062478B" w:rsidRPr="00E34966" w:rsidRDefault="0062478B" w:rsidP="009F0619">
            <w:pPr>
              <w:pStyle w:val="Header"/>
              <w:tabs>
                <w:tab w:val="clear" w:pos="4320"/>
                <w:tab w:val="clear" w:pos="8640"/>
              </w:tabs>
              <w:spacing w:before="120" w:after="120"/>
              <w:rPr>
                <w:sz w:val="22"/>
                <w:szCs w:val="22"/>
              </w:rPr>
            </w:pPr>
            <w:r w:rsidRPr="00E34966">
              <w:rPr>
                <w:spacing w:val="-2"/>
                <w:sz w:val="22"/>
                <w:szCs w:val="22"/>
              </w:rPr>
              <w:t xml:space="preserve">The Notes are not subject to redemption at the option of the holders or the Issuer, except as set out above under “Extension Feature”, </w:t>
            </w:r>
            <w:r w:rsidRPr="00E34966">
              <w:rPr>
                <w:sz w:val="22"/>
                <w:szCs w:val="22"/>
              </w:rPr>
              <w:t>for any reason (including without limitation, on any Maturity Date other than the Final Maturity Date) will be subject to the prior approval of the Superintendent of Financial Institutions if such redemption would lead to a breach of the Bank’s Total Loss Absorbing Capacity requirements.</w:t>
            </w:r>
          </w:p>
        </w:tc>
      </w:tr>
      <w:tr w:rsidR="0062478B" w:rsidRPr="00E34966" w14:paraId="717D3445" w14:textId="77777777" w:rsidTr="009F0619">
        <w:trPr>
          <w:jc w:val="center"/>
        </w:trPr>
        <w:tc>
          <w:tcPr>
            <w:tcW w:w="2088" w:type="dxa"/>
          </w:tcPr>
          <w:p w14:paraId="08AC123C"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Secondary Market</w:t>
            </w:r>
          </w:p>
        </w:tc>
        <w:tc>
          <w:tcPr>
            <w:tcW w:w="8712" w:type="dxa"/>
          </w:tcPr>
          <w:p w14:paraId="4C4440F7" w14:textId="77777777" w:rsidR="0062478B" w:rsidRPr="00E34966" w:rsidRDefault="0062478B" w:rsidP="009F0619">
            <w:pPr>
              <w:pStyle w:val="Header"/>
              <w:tabs>
                <w:tab w:val="clear" w:pos="4320"/>
                <w:tab w:val="clear" w:pos="8640"/>
              </w:tabs>
              <w:spacing w:before="120" w:after="120"/>
              <w:jc w:val="both"/>
              <w:rPr>
                <w:spacing w:val="-2"/>
                <w:sz w:val="22"/>
                <w:szCs w:val="22"/>
              </w:rPr>
            </w:pPr>
            <w:r w:rsidRPr="00E34966">
              <w:rPr>
                <w:sz w:val="22"/>
                <w:szCs w:val="22"/>
              </w:rPr>
              <w:t>RBC Dominion Securities (“</w:t>
            </w:r>
            <w:r w:rsidRPr="00E34966">
              <w:rPr>
                <w:b/>
                <w:sz w:val="22"/>
                <w:szCs w:val="22"/>
              </w:rPr>
              <w:t>RBC DS</w:t>
            </w:r>
            <w:r w:rsidRPr="00E34966">
              <w:rPr>
                <w:sz w:val="22"/>
                <w:szCs w:val="22"/>
              </w:rPr>
              <w:t xml:space="preserve">”) has indicated to Royal Bank that it will use its best reasonable efforts to establish and maintain a market for the Notes by making itself available as purchaser if and so long as RBC DS in its sole discretion believes that there is a reasonable likelihood that it will be able to sell such Notes at a profit or at no more than a nominal loss.  RBC DS may, in its sole discretion, cease to offer to purchase Notes. See “Risk Factors” below.  </w:t>
            </w:r>
            <w:r w:rsidRPr="00E34966">
              <w:rPr>
                <w:color w:val="000000"/>
                <w:sz w:val="22"/>
                <w:szCs w:val="22"/>
              </w:rPr>
              <w:t>If RBC DS offers to purchase Notes in connection with a secondary market transaction, there is no assurance that the purchase price will be the highest possible price available in any secondary market for the Notes and an investor could receive less than the Principal Amount.</w:t>
            </w:r>
          </w:p>
        </w:tc>
      </w:tr>
      <w:tr w:rsidR="0062478B" w:rsidRPr="00E34966" w14:paraId="6B64ACD5" w14:textId="77777777" w:rsidTr="009F0619">
        <w:trPr>
          <w:jc w:val="center"/>
        </w:trPr>
        <w:tc>
          <w:tcPr>
            <w:tcW w:w="2088" w:type="dxa"/>
          </w:tcPr>
          <w:p w14:paraId="6B4B3486"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CDS Book Based System</w:t>
            </w:r>
          </w:p>
        </w:tc>
        <w:tc>
          <w:tcPr>
            <w:tcW w:w="8712" w:type="dxa"/>
          </w:tcPr>
          <w:p w14:paraId="3F2AE374" w14:textId="77777777" w:rsidR="0062478B" w:rsidRPr="00E34966" w:rsidRDefault="0062478B" w:rsidP="009F0619">
            <w:pPr>
              <w:pStyle w:val="Header"/>
              <w:tabs>
                <w:tab w:val="clear" w:pos="4320"/>
                <w:tab w:val="clear" w:pos="8640"/>
              </w:tabs>
              <w:spacing w:before="120" w:after="120"/>
              <w:rPr>
                <w:spacing w:val="-2"/>
                <w:sz w:val="22"/>
                <w:szCs w:val="22"/>
              </w:rPr>
            </w:pPr>
            <w:r w:rsidRPr="00E34966">
              <w:rPr>
                <w:spacing w:val="-2"/>
                <w:sz w:val="22"/>
                <w:szCs w:val="22"/>
              </w:rPr>
              <w:t xml:space="preserve">Registration of interests in and transfer of the Notes will be made only through the </w:t>
            </w:r>
            <w:proofErr w:type="gramStart"/>
            <w:r w:rsidRPr="00E34966">
              <w:rPr>
                <w:spacing w:val="-2"/>
                <w:sz w:val="22"/>
                <w:szCs w:val="22"/>
              </w:rPr>
              <w:t>book based</w:t>
            </w:r>
            <w:proofErr w:type="gramEnd"/>
            <w:r w:rsidRPr="00E34966">
              <w:rPr>
                <w:spacing w:val="-2"/>
                <w:sz w:val="22"/>
                <w:szCs w:val="22"/>
              </w:rPr>
              <w:t xml:space="preserve"> system of the Canadian Depository for Securities ("CDS").  The Notes must be purchased either directly or indirectly through a participant in the CDS </w:t>
            </w:r>
            <w:proofErr w:type="gramStart"/>
            <w:r w:rsidRPr="00E34966">
              <w:rPr>
                <w:spacing w:val="-2"/>
                <w:sz w:val="22"/>
                <w:szCs w:val="22"/>
              </w:rPr>
              <w:t>book based</w:t>
            </w:r>
            <w:proofErr w:type="gramEnd"/>
            <w:r w:rsidRPr="00E34966">
              <w:rPr>
                <w:spacing w:val="-2"/>
                <w:sz w:val="22"/>
                <w:szCs w:val="22"/>
              </w:rPr>
              <w:t xml:space="preserve"> system.  No holder will be entitled to any certificate or other instrument from the Issuer or CDS evidencing the ownership </w:t>
            </w:r>
            <w:r w:rsidRPr="00E34966">
              <w:rPr>
                <w:spacing w:val="-2"/>
                <w:sz w:val="22"/>
                <w:szCs w:val="22"/>
              </w:rPr>
              <w:lastRenderedPageBreak/>
              <w:t>thereof, and no holder will be shown on the records maintained by CDS except through an agent who is a participant of CDS.</w:t>
            </w:r>
          </w:p>
        </w:tc>
      </w:tr>
      <w:tr w:rsidR="0062478B" w:rsidRPr="00E34966" w14:paraId="556821E0" w14:textId="77777777" w:rsidTr="009F0619">
        <w:trPr>
          <w:jc w:val="center"/>
        </w:trPr>
        <w:tc>
          <w:tcPr>
            <w:tcW w:w="2088" w:type="dxa"/>
          </w:tcPr>
          <w:p w14:paraId="10476377"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lastRenderedPageBreak/>
              <w:t>Bail-</w:t>
            </w:r>
            <w:proofErr w:type="spellStart"/>
            <w:r w:rsidRPr="00E34966">
              <w:rPr>
                <w:b/>
                <w:bCs/>
                <w:spacing w:val="-2"/>
                <w:sz w:val="22"/>
                <w:szCs w:val="22"/>
              </w:rPr>
              <w:t>inable</w:t>
            </w:r>
            <w:proofErr w:type="spellEnd"/>
          </w:p>
        </w:tc>
        <w:tc>
          <w:tcPr>
            <w:tcW w:w="8712" w:type="dxa"/>
          </w:tcPr>
          <w:p w14:paraId="1DBF77EB" w14:textId="77777777" w:rsidR="0062478B" w:rsidRPr="00E34966" w:rsidRDefault="0062478B" w:rsidP="009F0619">
            <w:pPr>
              <w:autoSpaceDE w:val="0"/>
              <w:autoSpaceDN w:val="0"/>
              <w:adjustRightInd w:val="0"/>
              <w:rPr>
                <w:rStyle w:val="DeltaViewInsertion"/>
                <w:rFonts w:ascii="Times New Roman" w:hAnsi="Times New Roman"/>
                <w:color w:val="auto"/>
                <w:sz w:val="22"/>
                <w:szCs w:val="22"/>
                <w:u w:val="none"/>
              </w:rPr>
            </w:pPr>
            <w:r w:rsidRPr="00E34966">
              <w:rPr>
                <w:rStyle w:val="DeltaViewInsertion"/>
                <w:rFonts w:ascii="Times New Roman" w:hAnsi="Times New Roman"/>
                <w:color w:val="auto"/>
                <w:sz w:val="22"/>
                <w:szCs w:val="22"/>
                <w:u w:val="none"/>
              </w:rPr>
              <w:t>The Notes are bail-</w:t>
            </w:r>
            <w:proofErr w:type="spellStart"/>
            <w:r w:rsidRPr="00E34966">
              <w:rPr>
                <w:rStyle w:val="DeltaViewInsertion"/>
                <w:rFonts w:ascii="Times New Roman" w:hAnsi="Times New Roman"/>
                <w:color w:val="auto"/>
                <w:sz w:val="22"/>
                <w:szCs w:val="22"/>
                <w:u w:val="none"/>
              </w:rPr>
              <w:t>inable</w:t>
            </w:r>
            <w:proofErr w:type="spellEnd"/>
            <w:r w:rsidRPr="00E34966">
              <w:rPr>
                <w:rStyle w:val="DeltaViewInsertion"/>
                <w:rFonts w:ascii="Times New Roman" w:hAnsi="Times New Roman"/>
                <w:color w:val="auto"/>
                <w:sz w:val="22"/>
                <w:szCs w:val="22"/>
                <w:u w:val="none"/>
              </w:rPr>
              <w:t xml:space="preserve"> notes subject to conversion in whole or in part – by means of a transaction or series of transactions and in one or more steps – into common shares of the Bank or any of its affiliates under subsection 39.2(2.3) of the </w:t>
            </w:r>
            <w:r w:rsidRPr="00E34966">
              <w:rPr>
                <w:rFonts w:ascii="Times New Roman" w:hAnsi="Times New Roman"/>
                <w:i/>
                <w:iCs/>
                <w:sz w:val="22"/>
                <w:szCs w:val="22"/>
              </w:rPr>
              <w:t>Canada Deposit Insurance Corporation Act</w:t>
            </w:r>
            <w:r w:rsidRPr="00E34966">
              <w:rPr>
                <w:rStyle w:val="DeltaViewInsertion"/>
                <w:rFonts w:ascii="Times New Roman" w:hAnsi="Times New Roman"/>
                <w:color w:val="auto"/>
                <w:sz w:val="22"/>
                <w:szCs w:val="22"/>
                <w:u w:val="none"/>
              </w:rPr>
              <w:t xml:space="preserve"> (the “</w:t>
            </w:r>
            <w:r w:rsidRPr="00E34966">
              <w:rPr>
                <w:rStyle w:val="DeltaViewInsertion"/>
                <w:rFonts w:ascii="Times New Roman" w:hAnsi="Times New Roman"/>
                <w:i/>
                <w:iCs/>
                <w:color w:val="auto"/>
                <w:sz w:val="22"/>
                <w:szCs w:val="22"/>
                <w:u w:val="none"/>
              </w:rPr>
              <w:t>CDIC Act”)</w:t>
            </w:r>
            <w:r w:rsidRPr="00E34966">
              <w:rPr>
                <w:rStyle w:val="DeltaViewInsertion"/>
                <w:rFonts w:ascii="Times New Roman" w:hAnsi="Times New Roman"/>
                <w:color w:val="auto"/>
                <w:sz w:val="22"/>
                <w:szCs w:val="22"/>
                <w:u w:val="none"/>
              </w:rPr>
              <w:t xml:space="preserve"> and to variation or extinguishment in consequence, and subject to the application of the laws of the Province of Ontario and the federal laws of Canada applicable therein in respect of the operation of the CDIC Act with respect to the Notes.  For a description of Canadian bank resolution powers and the consequent risk factors attaching to the Notes reference is made to </w:t>
            </w:r>
            <w:hyperlink r:id="rId6" w:history="1">
              <w:r w:rsidRPr="00E34966">
                <w:rPr>
                  <w:rStyle w:val="Hyperlink"/>
                  <w:rFonts w:ascii="Times New Roman" w:hAnsi="Times New Roman"/>
                  <w:sz w:val="22"/>
                  <w:szCs w:val="22"/>
                </w:rPr>
                <w:t>http://www.rbc.com/investorrelations/_assets-custom/pdf/Bail-in-Disclosure.pdf</w:t>
              </w:r>
            </w:hyperlink>
            <w:r w:rsidRPr="00E34966">
              <w:rPr>
                <w:rStyle w:val="DeltaViewInsertion"/>
                <w:rFonts w:ascii="Times New Roman" w:hAnsi="Times New Roman"/>
                <w:color w:val="auto"/>
                <w:sz w:val="22"/>
                <w:szCs w:val="22"/>
                <w:u w:val="none"/>
              </w:rPr>
              <w:t xml:space="preserve">  which information is hereby incorporated by reference.</w:t>
            </w:r>
          </w:p>
        </w:tc>
      </w:tr>
      <w:tr w:rsidR="0062478B" w:rsidRPr="00E34966" w14:paraId="0DD5E618" w14:textId="77777777" w:rsidTr="009F0619">
        <w:trPr>
          <w:jc w:val="center"/>
        </w:trPr>
        <w:tc>
          <w:tcPr>
            <w:tcW w:w="2088" w:type="dxa"/>
          </w:tcPr>
          <w:p w14:paraId="16E86E5C"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Subsequent Holders</w:t>
            </w:r>
          </w:p>
        </w:tc>
        <w:tc>
          <w:tcPr>
            <w:tcW w:w="8712" w:type="dxa"/>
          </w:tcPr>
          <w:p w14:paraId="6DDE8D0C" w14:textId="77777777" w:rsidR="0062478B" w:rsidRPr="00E34966" w:rsidRDefault="0062478B" w:rsidP="009F0619">
            <w:pPr>
              <w:pStyle w:val="Header"/>
              <w:tabs>
                <w:tab w:val="clear" w:pos="4320"/>
                <w:tab w:val="clear" w:pos="8640"/>
              </w:tabs>
              <w:spacing w:before="120" w:after="120"/>
              <w:rPr>
                <w:rStyle w:val="DeltaViewInsertion"/>
                <w:color w:val="auto"/>
                <w:sz w:val="22"/>
                <w:szCs w:val="22"/>
                <w:u w:val="none"/>
              </w:rPr>
            </w:pPr>
            <w:r w:rsidRPr="00E34966">
              <w:rPr>
                <w:sz w:val="22"/>
                <w:szCs w:val="22"/>
              </w:rPr>
              <w:t>Each holder or beneficial owner of a Note that acquires an interest in the Note in the secondary market and any successors, assigns, heirs, executors, administrators, trustees in bankruptcy and legal representatives of any such holder or beneficial owner shall be deemed to acknowledge, accept, agree to be bound by and consent to the same provisions specified in the Note to the same extent as the holders or beneficial owners that acquire an interest in the Note upon its initial issuance, including, without limitation, with respect to the acknowledgement and agreement to be bound by and consent to the terms of the Note related to the bail-in regime.</w:t>
            </w:r>
          </w:p>
        </w:tc>
      </w:tr>
      <w:tr w:rsidR="0062478B" w:rsidRPr="00E34966" w14:paraId="2A76AC25" w14:textId="77777777" w:rsidTr="009F0619">
        <w:trPr>
          <w:jc w:val="center"/>
        </w:trPr>
        <w:tc>
          <w:tcPr>
            <w:tcW w:w="2088" w:type="dxa"/>
          </w:tcPr>
          <w:p w14:paraId="61E8ED60"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z w:val="22"/>
                <w:szCs w:val="22"/>
              </w:rPr>
              <w:t>Events of Default</w:t>
            </w:r>
          </w:p>
        </w:tc>
        <w:tc>
          <w:tcPr>
            <w:tcW w:w="8712" w:type="dxa"/>
          </w:tcPr>
          <w:p w14:paraId="3FE760BB" w14:textId="77777777" w:rsidR="0062478B" w:rsidRPr="00E34966" w:rsidRDefault="0062478B" w:rsidP="009F0619">
            <w:pPr>
              <w:pStyle w:val="Header"/>
              <w:tabs>
                <w:tab w:val="clear" w:pos="4320"/>
                <w:tab w:val="clear" w:pos="8640"/>
              </w:tabs>
              <w:spacing w:before="120" w:after="120"/>
              <w:rPr>
                <w:rStyle w:val="DeltaViewInsertion"/>
                <w:color w:val="auto"/>
                <w:sz w:val="22"/>
                <w:szCs w:val="22"/>
                <w:u w:val="none"/>
              </w:rPr>
            </w:pPr>
            <w:r w:rsidRPr="00E34966">
              <w:rPr>
                <w:sz w:val="22"/>
                <w:szCs w:val="22"/>
              </w:rPr>
              <w:t>Non-payment of principal and interest when due for a period of 30 business days and acts of insolvency. Default rights may not be exercised where an order has been made pursuant to s. 39.13(1) of the CDIC Act in respect of the Bank. The Notes will remain subject to bail-in conversion until repaid in full.</w:t>
            </w:r>
          </w:p>
        </w:tc>
      </w:tr>
      <w:tr w:rsidR="0062478B" w:rsidRPr="00E34966" w14:paraId="68699557" w14:textId="77777777" w:rsidTr="009F0619">
        <w:trPr>
          <w:jc w:val="center"/>
        </w:trPr>
        <w:tc>
          <w:tcPr>
            <w:tcW w:w="2088" w:type="dxa"/>
          </w:tcPr>
          <w:p w14:paraId="25B6C27D"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z w:val="22"/>
                <w:szCs w:val="22"/>
              </w:rPr>
              <w:t>Set-Off</w:t>
            </w:r>
          </w:p>
        </w:tc>
        <w:tc>
          <w:tcPr>
            <w:tcW w:w="8712" w:type="dxa"/>
          </w:tcPr>
          <w:p w14:paraId="6F4FEDFA" w14:textId="77777777" w:rsidR="0062478B" w:rsidRPr="00E34966" w:rsidRDefault="0062478B" w:rsidP="009F0619">
            <w:pPr>
              <w:pStyle w:val="Header"/>
              <w:tabs>
                <w:tab w:val="clear" w:pos="4320"/>
                <w:tab w:val="clear" w:pos="8640"/>
              </w:tabs>
              <w:spacing w:before="120" w:after="120"/>
              <w:rPr>
                <w:rStyle w:val="DeltaViewInsertion"/>
                <w:color w:val="auto"/>
                <w:sz w:val="22"/>
                <w:szCs w:val="22"/>
                <w:u w:val="none"/>
              </w:rPr>
            </w:pPr>
            <w:r w:rsidRPr="00E34966">
              <w:rPr>
                <w:sz w:val="22"/>
                <w:szCs w:val="22"/>
              </w:rPr>
              <w:t>The holders and beneficial owners of the Notes will not be entitled to exercise, or direct the exercise of, any set-off or netting rights with respect to the Notes.</w:t>
            </w:r>
          </w:p>
        </w:tc>
      </w:tr>
      <w:tr w:rsidR="0062478B" w:rsidRPr="00E34966" w14:paraId="1C6ACDE6" w14:textId="77777777" w:rsidTr="009F0619">
        <w:trPr>
          <w:jc w:val="center"/>
        </w:trPr>
        <w:tc>
          <w:tcPr>
            <w:tcW w:w="2088" w:type="dxa"/>
          </w:tcPr>
          <w:p w14:paraId="35931ED2"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Documentation</w:t>
            </w:r>
          </w:p>
        </w:tc>
        <w:tc>
          <w:tcPr>
            <w:tcW w:w="8712" w:type="dxa"/>
          </w:tcPr>
          <w:p w14:paraId="68122D90" w14:textId="77777777" w:rsidR="0062478B" w:rsidRPr="00E34966" w:rsidRDefault="0062478B" w:rsidP="009F0619">
            <w:pPr>
              <w:pStyle w:val="Header"/>
              <w:tabs>
                <w:tab w:val="clear" w:pos="4320"/>
                <w:tab w:val="clear" w:pos="8640"/>
              </w:tabs>
              <w:spacing w:before="120" w:after="120"/>
              <w:rPr>
                <w:spacing w:val="-2"/>
                <w:sz w:val="22"/>
                <w:szCs w:val="22"/>
              </w:rPr>
            </w:pPr>
            <w:r w:rsidRPr="00E34966">
              <w:rPr>
                <w:rStyle w:val="DeltaViewInsertion"/>
                <w:color w:val="auto"/>
                <w:sz w:val="22"/>
                <w:szCs w:val="22"/>
                <w:u w:val="none"/>
              </w:rPr>
              <w:t>Issued by way of a single global note registered in the name of CDS &amp; Co.</w:t>
            </w:r>
            <w:r w:rsidRPr="00E34966">
              <w:rPr>
                <w:sz w:val="22"/>
                <w:szCs w:val="22"/>
              </w:rPr>
              <w:t xml:space="preserve"> No offering memorandum, prospectus, sales or advertising literature, or any other document describing or purporting to describe the business and affairs of the Bank has been prepared or is being provided to prospective purchasers </w:t>
            </w:r>
            <w:proofErr w:type="gramStart"/>
            <w:r w:rsidRPr="00E34966">
              <w:rPr>
                <w:sz w:val="22"/>
                <w:szCs w:val="22"/>
              </w:rPr>
              <w:t>in order to</w:t>
            </w:r>
            <w:proofErr w:type="gramEnd"/>
            <w:r w:rsidRPr="00E34966">
              <w:rPr>
                <w:sz w:val="22"/>
                <w:szCs w:val="22"/>
              </w:rPr>
              <w:t xml:space="preserve"> assist them in making an investment decision in respect of the Notes.</w:t>
            </w:r>
          </w:p>
        </w:tc>
      </w:tr>
      <w:tr w:rsidR="0062478B" w:rsidRPr="00E34966" w14:paraId="71D2C99C" w14:textId="77777777" w:rsidTr="009F0619">
        <w:trPr>
          <w:jc w:val="center"/>
        </w:trPr>
        <w:tc>
          <w:tcPr>
            <w:tcW w:w="2088" w:type="dxa"/>
          </w:tcPr>
          <w:p w14:paraId="4869A933"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rStyle w:val="DeltaViewInsertion"/>
                <w:b/>
                <w:bCs/>
                <w:color w:val="auto"/>
                <w:sz w:val="22"/>
                <w:szCs w:val="22"/>
                <w:u w:val="none"/>
              </w:rPr>
              <w:t>Selling Restrictions</w:t>
            </w:r>
          </w:p>
        </w:tc>
        <w:tc>
          <w:tcPr>
            <w:tcW w:w="8712" w:type="dxa"/>
          </w:tcPr>
          <w:p w14:paraId="188CEFA8" w14:textId="77777777" w:rsidR="0062478B" w:rsidRPr="00E34966" w:rsidRDefault="0062478B" w:rsidP="009F0619">
            <w:pPr>
              <w:pStyle w:val="Header"/>
              <w:tabs>
                <w:tab w:val="clear" w:pos="4320"/>
                <w:tab w:val="clear" w:pos="8640"/>
              </w:tabs>
              <w:spacing w:before="120" w:after="120"/>
              <w:rPr>
                <w:spacing w:val="-2"/>
                <w:sz w:val="22"/>
                <w:szCs w:val="22"/>
              </w:rPr>
            </w:pPr>
            <w:r w:rsidRPr="00E34966">
              <w:rPr>
                <w:spacing w:val="-2"/>
                <w:sz w:val="22"/>
                <w:szCs w:val="22"/>
              </w:rPr>
              <w:t xml:space="preserve">This document does not constitute an offer or invitation to sell, or a solicitation of an offer to purchase, any securities, by any person in any jurisdiction in which such an offer or solicitation is not authorized or in which the person making such offer or solicitation is not qualified to do so or to whom it is unlawful to make such an offer or solicitation. </w:t>
            </w:r>
            <w:r w:rsidRPr="00E34966">
              <w:rPr>
                <w:sz w:val="22"/>
                <w:szCs w:val="22"/>
              </w:rPr>
              <w:t xml:space="preserve">This term sheet constitutes an offering of the Notes only in those jurisdictions and to those persons where and to whom they may be lawfully offered for sale and then only through persons duly qualified to </w:t>
            </w:r>
            <w:proofErr w:type="gramStart"/>
            <w:r w:rsidRPr="00E34966">
              <w:rPr>
                <w:sz w:val="22"/>
                <w:szCs w:val="22"/>
              </w:rPr>
              <w:t>effect</w:t>
            </w:r>
            <w:proofErr w:type="gramEnd"/>
            <w:r w:rsidRPr="00E34966">
              <w:rPr>
                <w:sz w:val="22"/>
                <w:szCs w:val="22"/>
              </w:rPr>
              <w:t xml:space="preserve"> such sales. </w:t>
            </w:r>
            <w:r w:rsidRPr="00E34966">
              <w:rPr>
                <w:spacing w:val="-2"/>
                <w:sz w:val="22"/>
                <w:szCs w:val="22"/>
              </w:rPr>
              <w:t xml:space="preserve">The Notes have not been and will not be registered under the US Securities Act of 1933 and may not be offered or sold within the United States or to US persons.  </w:t>
            </w:r>
          </w:p>
        </w:tc>
      </w:tr>
      <w:tr w:rsidR="0062478B" w:rsidRPr="00E34966" w14:paraId="04A198D4" w14:textId="77777777" w:rsidTr="009F0619">
        <w:trPr>
          <w:jc w:val="center"/>
        </w:trPr>
        <w:tc>
          <w:tcPr>
            <w:tcW w:w="2088" w:type="dxa"/>
          </w:tcPr>
          <w:p w14:paraId="3E8D4DBF"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Not CDIC Insured</w:t>
            </w:r>
          </w:p>
        </w:tc>
        <w:tc>
          <w:tcPr>
            <w:tcW w:w="8712" w:type="dxa"/>
          </w:tcPr>
          <w:p w14:paraId="4DEC7DC4" w14:textId="77777777" w:rsidR="0062478B" w:rsidRPr="00E34966" w:rsidRDefault="0062478B" w:rsidP="009F0619">
            <w:pPr>
              <w:pStyle w:val="Header"/>
              <w:tabs>
                <w:tab w:val="clear" w:pos="4320"/>
                <w:tab w:val="clear" w:pos="8640"/>
              </w:tabs>
              <w:spacing w:before="120" w:after="120"/>
              <w:rPr>
                <w:spacing w:val="-2"/>
                <w:sz w:val="22"/>
                <w:szCs w:val="22"/>
              </w:rPr>
            </w:pPr>
            <w:r w:rsidRPr="00E34966">
              <w:rPr>
                <w:sz w:val="22"/>
                <w:szCs w:val="22"/>
              </w:rPr>
              <w:t xml:space="preserve">The </w:t>
            </w:r>
            <w:r w:rsidRPr="00E34966">
              <w:rPr>
                <w:rStyle w:val="DeltaViewInsertion"/>
                <w:color w:val="auto"/>
                <w:sz w:val="22"/>
                <w:szCs w:val="22"/>
                <w:u w:val="none"/>
              </w:rPr>
              <w:t>Notes do</w:t>
            </w:r>
            <w:r w:rsidRPr="00E34966">
              <w:rPr>
                <w:sz w:val="22"/>
                <w:szCs w:val="22"/>
              </w:rPr>
              <w:t xml:space="preserve"> not constitute </w:t>
            </w:r>
            <w:r w:rsidRPr="00E34966">
              <w:rPr>
                <w:rStyle w:val="DeltaViewInsertion"/>
                <w:color w:val="auto"/>
                <w:sz w:val="22"/>
                <w:szCs w:val="22"/>
                <w:u w:val="none"/>
              </w:rPr>
              <w:t>deposits</w:t>
            </w:r>
            <w:r w:rsidRPr="00E34966">
              <w:rPr>
                <w:sz w:val="22"/>
                <w:szCs w:val="22"/>
              </w:rPr>
              <w:t xml:space="preserve"> that </w:t>
            </w:r>
            <w:r w:rsidRPr="00E34966">
              <w:rPr>
                <w:rStyle w:val="DeltaViewInsertion"/>
                <w:color w:val="auto"/>
                <w:sz w:val="22"/>
                <w:szCs w:val="22"/>
                <w:u w:val="none"/>
              </w:rPr>
              <w:t>are</w:t>
            </w:r>
            <w:r w:rsidRPr="00E34966">
              <w:rPr>
                <w:sz w:val="22"/>
                <w:szCs w:val="22"/>
              </w:rPr>
              <w:t xml:space="preserve"> insured under </w:t>
            </w:r>
            <w:r w:rsidRPr="00E34966">
              <w:rPr>
                <w:rStyle w:val="DeltaViewInsertion"/>
                <w:color w:val="auto"/>
                <w:sz w:val="22"/>
                <w:szCs w:val="22"/>
                <w:u w:val="none"/>
              </w:rPr>
              <w:t xml:space="preserve">the </w:t>
            </w:r>
            <w:r w:rsidRPr="00E34966">
              <w:rPr>
                <w:rStyle w:val="DeltaViewInsertion"/>
                <w:iCs/>
                <w:color w:val="auto"/>
                <w:sz w:val="22"/>
                <w:szCs w:val="22"/>
                <w:u w:val="none"/>
              </w:rPr>
              <w:t>CDIC Act</w:t>
            </w:r>
            <w:r w:rsidRPr="00E34966">
              <w:rPr>
                <w:rStyle w:val="DeltaViewInsertion"/>
                <w:color w:val="auto"/>
                <w:sz w:val="22"/>
                <w:szCs w:val="22"/>
                <w:u w:val="none"/>
              </w:rPr>
              <w:t>.</w:t>
            </w:r>
          </w:p>
        </w:tc>
      </w:tr>
      <w:tr w:rsidR="0062478B" w:rsidRPr="00E34966" w14:paraId="315474E0" w14:textId="77777777" w:rsidTr="009F0619">
        <w:trPr>
          <w:jc w:val="center"/>
        </w:trPr>
        <w:tc>
          <w:tcPr>
            <w:tcW w:w="2088" w:type="dxa"/>
          </w:tcPr>
          <w:p w14:paraId="4670C193"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Tax</w:t>
            </w:r>
          </w:p>
        </w:tc>
        <w:tc>
          <w:tcPr>
            <w:tcW w:w="8712" w:type="dxa"/>
          </w:tcPr>
          <w:p w14:paraId="6EBF05F5" w14:textId="77777777" w:rsidR="0062478B" w:rsidRPr="00E34966" w:rsidRDefault="0062478B" w:rsidP="009F0619">
            <w:pPr>
              <w:rPr>
                <w:rFonts w:ascii="Times New Roman" w:hAnsi="Times New Roman"/>
                <w:sz w:val="22"/>
                <w:szCs w:val="22"/>
                <w:lang w:val="en-AU"/>
              </w:rPr>
            </w:pPr>
            <w:r w:rsidRPr="00E34966">
              <w:rPr>
                <w:rFonts w:ascii="Times New Roman" w:hAnsi="Times New Roman"/>
                <w:sz w:val="22"/>
                <w:szCs w:val="22"/>
              </w:rPr>
              <w:t xml:space="preserve">All holders of the Notes should consult their own tax advisors with respect to their tax positions and the tax consequences of holding the Notes.  </w:t>
            </w:r>
          </w:p>
        </w:tc>
      </w:tr>
      <w:tr w:rsidR="0062478B" w:rsidRPr="00E34966" w14:paraId="3249E237" w14:textId="77777777" w:rsidTr="009F0619">
        <w:trPr>
          <w:trHeight w:val="191"/>
          <w:jc w:val="center"/>
        </w:trPr>
        <w:tc>
          <w:tcPr>
            <w:tcW w:w="2088" w:type="dxa"/>
          </w:tcPr>
          <w:p w14:paraId="10148C5F"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Governing Laws</w:t>
            </w:r>
          </w:p>
        </w:tc>
        <w:tc>
          <w:tcPr>
            <w:tcW w:w="8712" w:type="dxa"/>
          </w:tcPr>
          <w:p w14:paraId="7F59C790" w14:textId="77777777" w:rsidR="0062478B" w:rsidRPr="00E34966" w:rsidRDefault="0062478B" w:rsidP="009F0619">
            <w:pPr>
              <w:pStyle w:val="Header"/>
              <w:tabs>
                <w:tab w:val="clear" w:pos="4320"/>
                <w:tab w:val="clear" w:pos="8640"/>
              </w:tabs>
              <w:spacing w:before="120" w:after="120"/>
              <w:rPr>
                <w:spacing w:val="-2"/>
                <w:sz w:val="22"/>
                <w:szCs w:val="22"/>
              </w:rPr>
            </w:pPr>
            <w:r w:rsidRPr="00E34966">
              <w:rPr>
                <w:spacing w:val="-2"/>
                <w:sz w:val="22"/>
                <w:szCs w:val="22"/>
              </w:rPr>
              <w:t>The Notes shall be governed by, and construed in accordance with, the laws of the province of Ontario and the laws of Canada applicable therein.</w:t>
            </w:r>
          </w:p>
        </w:tc>
      </w:tr>
      <w:tr w:rsidR="0062478B" w:rsidRPr="00E34966" w14:paraId="570B6A5E" w14:textId="77777777" w:rsidTr="009F0619">
        <w:trPr>
          <w:trHeight w:val="270"/>
          <w:jc w:val="center"/>
        </w:trPr>
        <w:tc>
          <w:tcPr>
            <w:tcW w:w="2088" w:type="dxa"/>
          </w:tcPr>
          <w:p w14:paraId="5778180B" w14:textId="77777777" w:rsidR="0062478B" w:rsidRPr="00E34966" w:rsidRDefault="0062478B" w:rsidP="009F0619">
            <w:pPr>
              <w:pStyle w:val="Header"/>
              <w:tabs>
                <w:tab w:val="clear" w:pos="4320"/>
                <w:tab w:val="clear" w:pos="8640"/>
              </w:tabs>
              <w:spacing w:before="120" w:after="120"/>
              <w:rPr>
                <w:b/>
                <w:bCs/>
                <w:spacing w:val="-2"/>
                <w:sz w:val="22"/>
                <w:szCs w:val="22"/>
              </w:rPr>
            </w:pPr>
            <w:r w:rsidRPr="00E34966">
              <w:rPr>
                <w:b/>
                <w:bCs/>
                <w:spacing w:val="-2"/>
                <w:sz w:val="22"/>
                <w:szCs w:val="22"/>
              </w:rPr>
              <w:t>CUSIP</w:t>
            </w:r>
          </w:p>
        </w:tc>
        <w:tc>
          <w:tcPr>
            <w:tcW w:w="8712" w:type="dxa"/>
          </w:tcPr>
          <w:p w14:paraId="353F4373" w14:textId="77777777" w:rsidR="0062478B" w:rsidRPr="00E34966" w:rsidRDefault="0062478B" w:rsidP="009F0619">
            <w:pPr>
              <w:pStyle w:val="Header"/>
              <w:tabs>
                <w:tab w:val="clear" w:pos="4320"/>
                <w:tab w:val="clear" w:pos="8640"/>
              </w:tabs>
              <w:spacing w:before="120" w:after="120"/>
              <w:rPr>
                <w:rFonts w:eastAsia="DengXian"/>
                <w:spacing w:val="-2"/>
                <w:sz w:val="22"/>
                <w:szCs w:val="22"/>
                <w:lang w:eastAsia="zh-CN"/>
              </w:rPr>
            </w:pPr>
          </w:p>
        </w:tc>
      </w:tr>
    </w:tbl>
    <w:p w14:paraId="6BFC7EF3" w14:textId="77777777" w:rsidR="0062478B" w:rsidRDefault="0062478B" w:rsidP="001E58A7">
      <w:pPr>
        <w:suppressAutoHyphens/>
        <w:spacing w:after="240"/>
        <w:jc w:val="both"/>
        <w:rPr>
          <w:rFonts w:ascii="Times New Roman" w:hAnsi="Times New Roman"/>
          <w:b/>
          <w:sz w:val="22"/>
          <w:szCs w:val="22"/>
        </w:rPr>
      </w:pPr>
    </w:p>
    <w:p w14:paraId="509F1235" w14:textId="77777777" w:rsidR="001E58A7" w:rsidRPr="00E34966" w:rsidRDefault="00EE5DFA" w:rsidP="001E58A7">
      <w:pPr>
        <w:suppressAutoHyphens/>
        <w:spacing w:after="240"/>
        <w:jc w:val="both"/>
        <w:rPr>
          <w:rFonts w:ascii="Times New Roman" w:hAnsi="Times New Roman"/>
          <w:sz w:val="22"/>
          <w:szCs w:val="22"/>
        </w:rPr>
      </w:pPr>
      <w:r w:rsidRPr="00E34966">
        <w:rPr>
          <w:rFonts w:ascii="Times New Roman" w:hAnsi="Times New Roman"/>
          <w:b/>
          <w:sz w:val="22"/>
          <w:szCs w:val="22"/>
        </w:rPr>
        <w:t>Risk Factors</w:t>
      </w:r>
      <w:r w:rsidRPr="00E34966">
        <w:rPr>
          <w:rFonts w:ascii="Times New Roman" w:hAnsi="Times New Roman"/>
          <w:sz w:val="22"/>
          <w:szCs w:val="22"/>
        </w:rPr>
        <w:tab/>
      </w:r>
    </w:p>
    <w:p w14:paraId="018A64AF" w14:textId="77777777" w:rsidR="00276513" w:rsidRPr="009453D6" w:rsidRDefault="00276513" w:rsidP="001E58A7">
      <w:pPr>
        <w:suppressAutoHyphens/>
        <w:spacing w:after="240"/>
        <w:jc w:val="both"/>
        <w:rPr>
          <w:rFonts w:ascii="Times New Roman" w:hAnsi="Times New Roman"/>
          <w:bCs/>
          <w:iCs/>
          <w:sz w:val="22"/>
          <w:szCs w:val="22"/>
        </w:rPr>
      </w:pPr>
      <w:r w:rsidRPr="009453D6">
        <w:rPr>
          <w:rFonts w:ascii="Times New Roman" w:hAnsi="Times New Roman"/>
          <w:bCs/>
          <w:iCs/>
          <w:sz w:val="22"/>
          <w:szCs w:val="22"/>
          <w:u w:val="single"/>
        </w:rPr>
        <w:t>Suitability</w:t>
      </w:r>
      <w:r w:rsidRPr="009453D6">
        <w:rPr>
          <w:rFonts w:ascii="Times New Roman" w:hAnsi="Times New Roman"/>
          <w:bCs/>
          <w:iCs/>
          <w:sz w:val="22"/>
          <w:szCs w:val="22"/>
        </w:rPr>
        <w:t xml:space="preserve"> – An investment in the Notes may not be suitable for all investors. The Notes will not constitute deposits that are insured under the Canada Deposit Insurance Corporation Act.  An investor should reach a decision to invest in the Notes after carefully considering the suitability of the Notes and his or her investment objectives.  Royal Bank makes no recommendation as to the suitability of the Notes for an investor’s investment purposes. Investors should consult with their investment advisor before </w:t>
      </w:r>
      <w:proofErr w:type="gramStart"/>
      <w:r w:rsidRPr="009453D6">
        <w:rPr>
          <w:rFonts w:ascii="Times New Roman" w:hAnsi="Times New Roman"/>
          <w:bCs/>
          <w:iCs/>
          <w:sz w:val="22"/>
          <w:szCs w:val="22"/>
        </w:rPr>
        <w:t>making a decision</w:t>
      </w:r>
      <w:proofErr w:type="gramEnd"/>
      <w:r w:rsidRPr="009453D6">
        <w:rPr>
          <w:rFonts w:ascii="Times New Roman" w:hAnsi="Times New Roman"/>
          <w:bCs/>
          <w:iCs/>
          <w:sz w:val="22"/>
          <w:szCs w:val="22"/>
        </w:rPr>
        <w:t xml:space="preserve"> regarding an investment in Notes.</w:t>
      </w:r>
    </w:p>
    <w:p w14:paraId="3545307E" w14:textId="77777777" w:rsidR="00276513" w:rsidRPr="007140C5" w:rsidRDefault="00276513" w:rsidP="001E58A7">
      <w:pPr>
        <w:pStyle w:val="HTMLPreformatted"/>
        <w:jc w:val="both"/>
        <w:rPr>
          <w:rFonts w:ascii="Times New Roman" w:hAnsi="Times New Roman" w:cs="Times New Roman"/>
          <w:bCs/>
          <w:iCs/>
          <w:sz w:val="22"/>
          <w:szCs w:val="22"/>
        </w:rPr>
      </w:pPr>
      <w:r w:rsidRPr="009453D6">
        <w:rPr>
          <w:rFonts w:ascii="Times New Roman" w:hAnsi="Times New Roman" w:cs="Times New Roman"/>
          <w:bCs/>
          <w:iCs/>
          <w:sz w:val="22"/>
          <w:szCs w:val="22"/>
          <w:u w:val="single"/>
        </w:rPr>
        <w:t xml:space="preserve">Early Redemption Risk </w:t>
      </w:r>
      <w:r w:rsidRPr="007140C5">
        <w:rPr>
          <w:rFonts w:ascii="Times New Roman" w:hAnsi="Times New Roman" w:cs="Times New Roman"/>
          <w:bCs/>
          <w:iCs/>
          <w:sz w:val="22"/>
          <w:szCs w:val="22"/>
        </w:rPr>
        <w:t>– Royal Bank retains the option to redeem their Notes on any Extended Maturity Date, commencing 15-May-2030. It is more likely that Royal Bank will redeem the Notes prior to the Final Maturity Date to the extent that the interest payable on the notes is greater than the interest that would be payable on other instruments of a comparable maturity, terms and credit rating trading in the market. If the notes are redeemed prior to their stated maturity date, holders may have to re-invest the proceeds in a lower rate environment.</w:t>
      </w:r>
    </w:p>
    <w:p w14:paraId="3A621DFA" w14:textId="77777777" w:rsidR="00276513" w:rsidRPr="009453D6" w:rsidRDefault="00276513" w:rsidP="00276513">
      <w:pPr>
        <w:ind w:left="2880"/>
        <w:rPr>
          <w:rFonts w:ascii="Times New Roman" w:hAnsi="Times New Roman"/>
          <w:bCs/>
          <w:iCs/>
          <w:sz w:val="22"/>
          <w:szCs w:val="22"/>
        </w:rPr>
      </w:pPr>
    </w:p>
    <w:p w14:paraId="6124DABE" w14:textId="77777777" w:rsidR="00276513" w:rsidRPr="009453D6" w:rsidRDefault="00276513" w:rsidP="001E58A7">
      <w:pPr>
        <w:jc w:val="both"/>
        <w:rPr>
          <w:rFonts w:ascii="Times New Roman" w:hAnsi="Times New Roman"/>
          <w:bCs/>
          <w:iCs/>
          <w:sz w:val="22"/>
          <w:szCs w:val="22"/>
          <w:lang w:val="en-GB"/>
        </w:rPr>
      </w:pPr>
      <w:r w:rsidRPr="009453D6">
        <w:rPr>
          <w:rFonts w:ascii="Times New Roman" w:hAnsi="Times New Roman"/>
          <w:bCs/>
          <w:iCs/>
          <w:sz w:val="22"/>
          <w:szCs w:val="22"/>
          <w:u w:val="single"/>
        </w:rPr>
        <w:t>Credit Risk</w:t>
      </w:r>
      <w:r w:rsidRPr="009453D6">
        <w:rPr>
          <w:rFonts w:ascii="Times New Roman" w:hAnsi="Times New Roman"/>
          <w:bCs/>
          <w:iCs/>
          <w:sz w:val="22"/>
          <w:szCs w:val="22"/>
        </w:rPr>
        <w:t xml:space="preserve"> - </w:t>
      </w:r>
      <w:r w:rsidRPr="009453D6">
        <w:rPr>
          <w:rFonts w:ascii="Times New Roman" w:hAnsi="Times New Roman"/>
          <w:bCs/>
          <w:iCs/>
          <w:sz w:val="22"/>
          <w:szCs w:val="22"/>
        </w:rPr>
        <w:tab/>
      </w:r>
      <w:r w:rsidRPr="009453D6">
        <w:rPr>
          <w:rFonts w:ascii="Times New Roman" w:hAnsi="Times New Roman"/>
          <w:bCs/>
          <w:iCs/>
          <w:sz w:val="22"/>
          <w:szCs w:val="22"/>
          <w:lang w:val="en-GB"/>
        </w:rPr>
        <w:t xml:space="preserve">The </w:t>
      </w:r>
      <w:r w:rsidR="005F0DAF" w:rsidRPr="009453D6">
        <w:rPr>
          <w:rFonts w:ascii="Times New Roman" w:hAnsi="Times New Roman"/>
          <w:bCs/>
          <w:iCs/>
          <w:sz w:val="22"/>
          <w:szCs w:val="22"/>
          <w:lang w:val="en-GB"/>
        </w:rPr>
        <w:t>Notes</w:t>
      </w:r>
      <w:r w:rsidRPr="009453D6">
        <w:rPr>
          <w:rFonts w:ascii="Times New Roman" w:hAnsi="Times New Roman"/>
          <w:bCs/>
          <w:iCs/>
          <w:sz w:val="22"/>
          <w:szCs w:val="22"/>
          <w:lang w:val="en-GB"/>
        </w:rPr>
        <w:t xml:space="preserve"> will be direct unsecured liabilities of Royal Bank of Canada </w:t>
      </w:r>
      <w:r w:rsidRPr="009453D6">
        <w:rPr>
          <w:rFonts w:ascii="Times New Roman" w:hAnsi="Times New Roman"/>
          <w:bCs/>
          <w:iCs/>
          <w:sz w:val="22"/>
          <w:szCs w:val="22"/>
        </w:rPr>
        <w:t>(credit ratings: Moody’s A</w:t>
      </w:r>
      <w:r w:rsidR="00EF66E6" w:rsidRPr="009453D6">
        <w:rPr>
          <w:rFonts w:ascii="Times New Roman" w:hAnsi="Times New Roman"/>
          <w:bCs/>
          <w:iCs/>
          <w:sz w:val="22"/>
          <w:szCs w:val="22"/>
        </w:rPr>
        <w:t>1</w:t>
      </w:r>
      <w:r w:rsidRPr="009453D6">
        <w:rPr>
          <w:rFonts w:ascii="Times New Roman" w:hAnsi="Times New Roman"/>
          <w:bCs/>
          <w:iCs/>
          <w:sz w:val="22"/>
          <w:szCs w:val="22"/>
        </w:rPr>
        <w:t xml:space="preserve">; Standard &amp; Poor’s A; DBRS AA) ranking </w:t>
      </w:r>
      <w:proofErr w:type="spellStart"/>
      <w:r w:rsidRPr="009453D6">
        <w:rPr>
          <w:rFonts w:ascii="Times New Roman" w:hAnsi="Times New Roman"/>
          <w:bCs/>
          <w:iCs/>
          <w:sz w:val="22"/>
          <w:szCs w:val="22"/>
        </w:rPr>
        <w:t>pari</w:t>
      </w:r>
      <w:proofErr w:type="spellEnd"/>
      <w:r w:rsidRPr="009453D6">
        <w:rPr>
          <w:rFonts w:ascii="Times New Roman" w:hAnsi="Times New Roman"/>
          <w:bCs/>
          <w:iCs/>
          <w:sz w:val="22"/>
          <w:szCs w:val="22"/>
        </w:rPr>
        <w:t xml:space="preserve"> passu with all other unsecured and unsubordinated debt of the Bank</w:t>
      </w:r>
      <w:r w:rsidRPr="009453D6">
        <w:rPr>
          <w:rFonts w:ascii="Times New Roman" w:hAnsi="Times New Roman"/>
          <w:bCs/>
          <w:iCs/>
          <w:sz w:val="22"/>
          <w:szCs w:val="22"/>
          <w:lang w:val="en-GB"/>
        </w:rPr>
        <w:t>.  Holders will not have the benefit of any insurance under the provisions of the Canada Deposit Insurance Corporation Act.  Return on the Notes is subject to the creditworthiness of Royal Bank. Investors are dependent on the Royal Bank’s ability to pay all amounts due on the Notes, and therefore, investors are subject to Royal Bank’s credit risk and to changes in the market-view of Royal Bank’s creditworthiness.  Any decline in credit ratings or increase in the credit spreads charged by the market for taking Royal Bank’s credit risk is likely to adversely affect the market value of the Notes.</w:t>
      </w:r>
    </w:p>
    <w:p w14:paraId="5DE8A827" w14:textId="77777777" w:rsidR="00276513" w:rsidRPr="009453D6" w:rsidRDefault="00276513" w:rsidP="00276513">
      <w:pPr>
        <w:jc w:val="both"/>
        <w:rPr>
          <w:rFonts w:ascii="Times New Roman" w:hAnsi="Times New Roman"/>
          <w:bCs/>
          <w:iCs/>
          <w:color w:val="000000"/>
          <w:spacing w:val="-2"/>
          <w:sz w:val="22"/>
          <w:szCs w:val="22"/>
          <w:lang w:val="en-GB"/>
        </w:rPr>
      </w:pPr>
    </w:p>
    <w:p w14:paraId="4187C70B" w14:textId="77777777" w:rsidR="00276513" w:rsidRPr="009453D6" w:rsidRDefault="00276513" w:rsidP="001E58A7">
      <w:pPr>
        <w:jc w:val="both"/>
        <w:rPr>
          <w:rFonts w:ascii="Times New Roman" w:hAnsi="Times New Roman"/>
          <w:bCs/>
          <w:iCs/>
          <w:sz w:val="22"/>
          <w:szCs w:val="22"/>
        </w:rPr>
      </w:pPr>
      <w:r w:rsidRPr="009453D6">
        <w:rPr>
          <w:rFonts w:ascii="Times New Roman" w:hAnsi="Times New Roman"/>
          <w:bCs/>
          <w:iCs/>
          <w:sz w:val="22"/>
          <w:szCs w:val="22"/>
          <w:u w:val="single"/>
        </w:rPr>
        <w:t>Secondary Market</w:t>
      </w:r>
      <w:r w:rsidRPr="009453D6">
        <w:rPr>
          <w:rFonts w:ascii="Times New Roman" w:hAnsi="Times New Roman"/>
          <w:bCs/>
          <w:iCs/>
          <w:sz w:val="22"/>
          <w:szCs w:val="22"/>
        </w:rPr>
        <w:t xml:space="preserve"> – The Notes will not be listed on any stock exchange and there is no assurance that a secondary market for Notes will develop or be sustainable.  RBC DS may, from time to time, purchase and sell Notes, but will not be obligated to do so.  If RBC DS determines, in its sole discretion, to stop facilitating a secondary market for the Notes, holders of Notes may not be able to resell their Notes.  If RBC DS offers to purchase Notes in connection with a secondary market transaction, there is no assurance that the purchase price will be the highest possible price available in any secondary market for the Notes. The resale price of </w:t>
      </w:r>
      <w:r w:rsidRPr="009453D6">
        <w:rPr>
          <w:rFonts w:ascii="Times New Roman" w:hAnsi="Times New Roman"/>
          <w:bCs/>
          <w:iCs/>
          <w:color w:val="000000"/>
          <w:sz w:val="22"/>
          <w:szCs w:val="22"/>
        </w:rPr>
        <w:t>Notes</w:t>
      </w:r>
      <w:r w:rsidRPr="009453D6">
        <w:rPr>
          <w:rFonts w:ascii="Times New Roman" w:hAnsi="Times New Roman"/>
          <w:bCs/>
          <w:iCs/>
          <w:sz w:val="22"/>
          <w:szCs w:val="22"/>
        </w:rPr>
        <w:t xml:space="preserve"> could be below the $100 Principal Amount per </w:t>
      </w:r>
      <w:r w:rsidRPr="009453D6">
        <w:rPr>
          <w:rFonts w:ascii="Times New Roman" w:hAnsi="Times New Roman"/>
          <w:bCs/>
          <w:iCs/>
          <w:spacing w:val="-2"/>
          <w:sz w:val="22"/>
          <w:szCs w:val="22"/>
          <w:lang w:val="en-GB"/>
        </w:rPr>
        <w:t>Note</w:t>
      </w:r>
      <w:r w:rsidRPr="009453D6">
        <w:rPr>
          <w:rFonts w:ascii="Times New Roman" w:hAnsi="Times New Roman"/>
          <w:bCs/>
          <w:iCs/>
          <w:sz w:val="22"/>
          <w:szCs w:val="22"/>
        </w:rPr>
        <w:t xml:space="preserve">.  The value of the </w:t>
      </w:r>
      <w:r w:rsidRPr="009453D6">
        <w:rPr>
          <w:rFonts w:ascii="Times New Roman" w:hAnsi="Times New Roman"/>
          <w:bCs/>
          <w:iCs/>
          <w:color w:val="000000"/>
          <w:sz w:val="22"/>
          <w:szCs w:val="22"/>
        </w:rPr>
        <w:t>Notes</w:t>
      </w:r>
      <w:r w:rsidRPr="009453D6">
        <w:rPr>
          <w:rFonts w:ascii="Times New Roman" w:hAnsi="Times New Roman"/>
          <w:bCs/>
          <w:iCs/>
          <w:sz w:val="22"/>
          <w:szCs w:val="22"/>
        </w:rPr>
        <w:t xml:space="preserve"> in any secondary market will be affected by </w:t>
      </w:r>
      <w:proofErr w:type="gramStart"/>
      <w:r w:rsidRPr="009453D6">
        <w:rPr>
          <w:rFonts w:ascii="Times New Roman" w:hAnsi="Times New Roman"/>
          <w:bCs/>
          <w:iCs/>
          <w:sz w:val="22"/>
          <w:szCs w:val="22"/>
        </w:rPr>
        <w:t>a number of</w:t>
      </w:r>
      <w:proofErr w:type="gramEnd"/>
      <w:r w:rsidRPr="009453D6">
        <w:rPr>
          <w:rFonts w:ascii="Times New Roman" w:hAnsi="Times New Roman"/>
          <w:bCs/>
          <w:iCs/>
          <w:sz w:val="22"/>
          <w:szCs w:val="22"/>
        </w:rPr>
        <w:t xml:space="preserve"> complex and inter-related factors, including prevailing interest rates, interest rate volatility, any actual or anticipated changes in our credit ratings or credit spreads, and the time remaining until maturity.  The effect of any one factor may be offset or magnified by the effect of another factor.</w:t>
      </w:r>
    </w:p>
    <w:p w14:paraId="10EBD9E6" w14:textId="77777777" w:rsidR="001E58A7" w:rsidRPr="009453D6" w:rsidRDefault="001E58A7" w:rsidP="001E58A7">
      <w:pPr>
        <w:jc w:val="both"/>
        <w:rPr>
          <w:rFonts w:ascii="Times New Roman" w:hAnsi="Times New Roman"/>
          <w:bCs/>
          <w:iCs/>
          <w:color w:val="000000"/>
          <w:spacing w:val="-2"/>
          <w:sz w:val="22"/>
          <w:szCs w:val="22"/>
          <w:lang w:val="en-GB"/>
        </w:rPr>
      </w:pPr>
    </w:p>
    <w:p w14:paraId="43130B6B" w14:textId="77777777" w:rsidR="001E58A7" w:rsidRPr="009453D6" w:rsidRDefault="00276513" w:rsidP="00E121DE">
      <w:pPr>
        <w:ind w:left="2160" w:hanging="2160"/>
        <w:jc w:val="both"/>
        <w:rPr>
          <w:rFonts w:ascii="Times New Roman" w:hAnsi="Times New Roman"/>
          <w:bCs/>
          <w:iCs/>
          <w:sz w:val="22"/>
          <w:szCs w:val="22"/>
        </w:rPr>
      </w:pPr>
      <w:r w:rsidRPr="009453D6">
        <w:rPr>
          <w:rFonts w:ascii="Times New Roman" w:hAnsi="Times New Roman"/>
          <w:bCs/>
          <w:iCs/>
          <w:sz w:val="22"/>
          <w:szCs w:val="22"/>
          <w:u w:val="single"/>
        </w:rPr>
        <w:t>Potential conflicts of interest</w:t>
      </w:r>
      <w:r w:rsidRPr="009453D6">
        <w:rPr>
          <w:rFonts w:ascii="Times New Roman" w:hAnsi="Times New Roman"/>
          <w:bCs/>
          <w:iCs/>
          <w:sz w:val="22"/>
          <w:szCs w:val="22"/>
        </w:rPr>
        <w:t xml:space="preserve"> – Royal Bank or our subsidiary, R</w:t>
      </w:r>
      <w:r w:rsidR="001E58A7" w:rsidRPr="009453D6">
        <w:rPr>
          <w:rFonts w:ascii="Times New Roman" w:hAnsi="Times New Roman"/>
          <w:bCs/>
          <w:iCs/>
          <w:sz w:val="22"/>
          <w:szCs w:val="22"/>
        </w:rPr>
        <w:t>BC DS (RBC DS is a wholly owned</w:t>
      </w:r>
    </w:p>
    <w:p w14:paraId="4CA9F0EC" w14:textId="77777777" w:rsidR="001E58A7" w:rsidRPr="009453D6" w:rsidRDefault="00276513" w:rsidP="001E58A7">
      <w:pPr>
        <w:jc w:val="both"/>
        <w:rPr>
          <w:rFonts w:ascii="Times New Roman" w:hAnsi="Times New Roman"/>
          <w:bCs/>
          <w:iCs/>
          <w:sz w:val="22"/>
          <w:szCs w:val="22"/>
        </w:rPr>
      </w:pPr>
      <w:r w:rsidRPr="009453D6">
        <w:rPr>
          <w:rFonts w:ascii="Times New Roman" w:hAnsi="Times New Roman"/>
          <w:bCs/>
          <w:iCs/>
          <w:sz w:val="22"/>
          <w:szCs w:val="22"/>
        </w:rPr>
        <w:t>subsidiary of the Royal Bank of Canada), will perform functions or engage in activities that could</w:t>
      </w:r>
    </w:p>
    <w:p w14:paraId="2E8C5A8A" w14:textId="77777777" w:rsidR="001E58A7" w:rsidRPr="009453D6" w:rsidRDefault="00276513" w:rsidP="00E121DE">
      <w:pPr>
        <w:ind w:left="2160" w:hanging="2160"/>
        <w:jc w:val="both"/>
        <w:rPr>
          <w:rFonts w:ascii="Times New Roman" w:hAnsi="Times New Roman"/>
          <w:bCs/>
          <w:iCs/>
          <w:sz w:val="22"/>
          <w:szCs w:val="22"/>
        </w:rPr>
      </w:pPr>
      <w:r w:rsidRPr="009453D6">
        <w:rPr>
          <w:rFonts w:ascii="Times New Roman" w:hAnsi="Times New Roman"/>
          <w:bCs/>
          <w:iCs/>
          <w:sz w:val="22"/>
          <w:szCs w:val="22"/>
        </w:rPr>
        <w:t>adversely impact on the value of the Notes, the ability of a holder to rese</w:t>
      </w:r>
      <w:r w:rsidR="001E58A7" w:rsidRPr="009453D6">
        <w:rPr>
          <w:rFonts w:ascii="Times New Roman" w:hAnsi="Times New Roman"/>
          <w:bCs/>
          <w:iCs/>
          <w:sz w:val="22"/>
          <w:szCs w:val="22"/>
        </w:rPr>
        <w:t>ll their Notes or the amount or</w:t>
      </w:r>
    </w:p>
    <w:p w14:paraId="597A1A93" w14:textId="77777777" w:rsidR="001E58A7" w:rsidRPr="009453D6" w:rsidRDefault="00276513" w:rsidP="00E121DE">
      <w:pPr>
        <w:ind w:left="2160" w:hanging="2160"/>
        <w:jc w:val="both"/>
        <w:rPr>
          <w:rFonts w:ascii="Times New Roman" w:hAnsi="Times New Roman"/>
          <w:bCs/>
          <w:iCs/>
          <w:sz w:val="22"/>
          <w:szCs w:val="22"/>
        </w:rPr>
      </w:pPr>
      <w:r w:rsidRPr="009453D6">
        <w:rPr>
          <w:rFonts w:ascii="Times New Roman" w:hAnsi="Times New Roman"/>
          <w:bCs/>
          <w:iCs/>
          <w:sz w:val="22"/>
          <w:szCs w:val="22"/>
        </w:rPr>
        <w:t xml:space="preserve">timing of receipt of entitlements under the Notes.  Consequently, potential </w:t>
      </w:r>
      <w:r w:rsidR="001E58A7" w:rsidRPr="009453D6">
        <w:rPr>
          <w:rFonts w:ascii="Times New Roman" w:hAnsi="Times New Roman"/>
          <w:bCs/>
          <w:iCs/>
          <w:sz w:val="22"/>
          <w:szCs w:val="22"/>
        </w:rPr>
        <w:t>conflicts between the interests</w:t>
      </w:r>
    </w:p>
    <w:p w14:paraId="3C5A6D51" w14:textId="77777777" w:rsidR="00141B0A" w:rsidRPr="009453D6" w:rsidRDefault="00276513" w:rsidP="00E121DE">
      <w:pPr>
        <w:ind w:left="2160" w:hanging="2160"/>
        <w:jc w:val="both"/>
        <w:rPr>
          <w:rFonts w:ascii="Times New Roman" w:hAnsi="Times New Roman"/>
          <w:bCs/>
          <w:iCs/>
          <w:sz w:val="22"/>
          <w:szCs w:val="22"/>
        </w:rPr>
      </w:pPr>
      <w:r w:rsidRPr="009453D6">
        <w:rPr>
          <w:rFonts w:ascii="Times New Roman" w:hAnsi="Times New Roman"/>
          <w:bCs/>
          <w:iCs/>
          <w:sz w:val="22"/>
          <w:szCs w:val="22"/>
        </w:rPr>
        <w:t>of holders and Royal Bank’s interests may arise.</w:t>
      </w:r>
    </w:p>
    <w:p w14:paraId="74209630" w14:textId="77777777" w:rsidR="001E58A7" w:rsidRPr="009453D6" w:rsidRDefault="001E58A7" w:rsidP="001E58A7">
      <w:pPr>
        <w:jc w:val="both"/>
        <w:rPr>
          <w:rFonts w:ascii="Times New Roman" w:hAnsi="Times New Roman"/>
          <w:bCs/>
          <w:iCs/>
          <w:sz w:val="22"/>
          <w:szCs w:val="22"/>
        </w:rPr>
      </w:pPr>
    </w:p>
    <w:p w14:paraId="212EA082" w14:textId="77777777" w:rsidR="00EE5DFA" w:rsidRPr="009453D6" w:rsidRDefault="00141B0A" w:rsidP="001E58A7">
      <w:pPr>
        <w:jc w:val="both"/>
        <w:rPr>
          <w:rFonts w:ascii="Times New Roman" w:hAnsi="Times New Roman"/>
          <w:bCs/>
          <w:iCs/>
          <w:sz w:val="22"/>
          <w:szCs w:val="22"/>
        </w:rPr>
      </w:pPr>
      <w:r w:rsidRPr="009453D6">
        <w:rPr>
          <w:rFonts w:ascii="Times New Roman" w:hAnsi="Times New Roman"/>
          <w:bCs/>
          <w:iCs/>
          <w:sz w:val="22"/>
          <w:szCs w:val="22"/>
          <w:u w:val="single"/>
        </w:rPr>
        <w:t>Bail-in</w:t>
      </w:r>
      <w:r w:rsidRPr="009453D6">
        <w:rPr>
          <w:rFonts w:ascii="Times New Roman" w:hAnsi="Times New Roman"/>
          <w:bCs/>
          <w:iCs/>
          <w:sz w:val="22"/>
          <w:szCs w:val="22"/>
        </w:rPr>
        <w:t xml:space="preserve"> – See </w:t>
      </w:r>
      <w:hyperlink r:id="rId7" w:history="1">
        <w:r w:rsidRPr="009453D6">
          <w:rPr>
            <w:rStyle w:val="Hyperlink"/>
            <w:rFonts w:ascii="Times New Roman" w:hAnsi="Times New Roman"/>
            <w:bCs/>
            <w:iCs/>
            <w:sz w:val="22"/>
            <w:szCs w:val="22"/>
          </w:rPr>
          <w:t>http://www.rbc.com/investorrelations/_assets-custom/pdf/Bail-in-Disclosure.pdf</w:t>
        </w:r>
      </w:hyperlink>
      <w:r w:rsidRPr="009453D6">
        <w:rPr>
          <w:rStyle w:val="DeltaViewInsertion"/>
          <w:rFonts w:ascii="Times New Roman" w:hAnsi="Times New Roman"/>
          <w:bCs/>
          <w:iCs/>
          <w:color w:val="auto"/>
          <w:sz w:val="22"/>
          <w:szCs w:val="22"/>
          <w:u w:val="none"/>
        </w:rPr>
        <w:t xml:space="preserve"> starting on page 5 for additional risk factors which are hereby incorporated by reference.</w:t>
      </w:r>
      <w:r w:rsidR="007C4AB6" w:rsidRPr="009453D6">
        <w:rPr>
          <w:rStyle w:val="DeltaViewInsertion"/>
          <w:rFonts w:ascii="Times New Roman" w:hAnsi="Times New Roman"/>
          <w:bCs/>
          <w:iCs/>
          <w:color w:val="auto"/>
          <w:sz w:val="22"/>
          <w:szCs w:val="22"/>
          <w:u w:val="none"/>
        </w:rPr>
        <w:br/>
      </w:r>
      <w:r w:rsidR="007C4AB6" w:rsidRPr="009453D6">
        <w:rPr>
          <w:rFonts w:ascii="Times New Roman" w:hAnsi="Times New Roman"/>
          <w:bCs/>
          <w:iCs/>
          <w:sz w:val="22"/>
          <w:szCs w:val="22"/>
        </w:rPr>
        <w:br/>
      </w:r>
      <w:r w:rsidR="007A3E88" w:rsidRPr="009453D6">
        <w:rPr>
          <w:rFonts w:ascii="Times New Roman" w:hAnsi="Times New Roman"/>
          <w:bCs/>
          <w:iCs/>
          <w:sz w:val="22"/>
          <w:szCs w:val="22"/>
          <w:u w:val="single"/>
        </w:rPr>
        <w:t>A</w:t>
      </w:r>
      <w:r w:rsidR="00F2412E" w:rsidRPr="009453D6">
        <w:rPr>
          <w:rFonts w:ascii="Times New Roman" w:hAnsi="Times New Roman"/>
          <w:bCs/>
          <w:iCs/>
          <w:sz w:val="22"/>
          <w:szCs w:val="22"/>
          <w:u w:val="single"/>
        </w:rPr>
        <w:t>dditional Information</w:t>
      </w:r>
      <w:r w:rsidR="00F2412E" w:rsidRPr="009453D6">
        <w:rPr>
          <w:rFonts w:ascii="Times New Roman" w:hAnsi="Times New Roman"/>
          <w:bCs/>
          <w:iCs/>
          <w:sz w:val="22"/>
          <w:szCs w:val="22"/>
        </w:rPr>
        <w:t>:  Retail clients must contact their investment advisor</w:t>
      </w:r>
      <w:r w:rsidR="001D5002" w:rsidRPr="009453D6">
        <w:rPr>
          <w:rFonts w:ascii="Times New Roman" w:hAnsi="Times New Roman"/>
          <w:bCs/>
          <w:iCs/>
          <w:sz w:val="22"/>
          <w:szCs w:val="22"/>
        </w:rPr>
        <w:t>.</w:t>
      </w:r>
    </w:p>
    <w:p w14:paraId="14D05274" w14:textId="77777777" w:rsidR="00F4142D" w:rsidRDefault="00F4142D"/>
    <w:p w14:paraId="3D89EABC" w14:textId="77777777" w:rsidR="00F4142D" w:rsidRDefault="00F4142D"/>
    <w:sectPr w:rsidR="00F4142D" w:rsidSect="00813AD1">
      <w:headerReference w:type="default" r:id="rId8"/>
      <w:headerReference w:type="first" r:id="rId9"/>
      <w:pgSz w:w="12240" w:h="15840"/>
      <w:pgMar w:top="1440" w:right="1440" w:bottom="1440" w:left="1440"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69B6" w14:textId="77777777" w:rsidR="00D836CF" w:rsidRDefault="00D836CF">
      <w:r>
        <w:separator/>
      </w:r>
    </w:p>
  </w:endnote>
  <w:endnote w:type="continuationSeparator" w:id="0">
    <w:p w14:paraId="02057163" w14:textId="77777777" w:rsidR="00D836CF" w:rsidRDefault="00D8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130A" w14:textId="77777777" w:rsidR="00D836CF" w:rsidRDefault="00D836CF">
      <w:r>
        <w:separator/>
      </w:r>
    </w:p>
  </w:footnote>
  <w:footnote w:type="continuationSeparator" w:id="0">
    <w:p w14:paraId="1CA65E38" w14:textId="77777777" w:rsidR="00D836CF" w:rsidRDefault="00D8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771" w14:textId="77777777" w:rsidR="00EC48C5" w:rsidRDefault="007140C5">
    <w:r>
      <w:rPr>
        <w:noProof/>
      </w:rPr>
      <w:pict w14:anchorId="7AAEE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16.05pt;height:40.1pt;z-index:-251659264;mso-position-horizontal-relative:page;mso-position-vertical-relative:page">
          <v:imagedata r:id="rId1" o:title="09150_WordMastPg2"/>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509A" w14:textId="77777777" w:rsidR="00707321" w:rsidRDefault="007140C5">
    <w:pPr>
      <w:pStyle w:val="Header"/>
    </w:pPr>
    <w:r>
      <w:rPr>
        <w:noProof/>
      </w:rPr>
      <w:pict w14:anchorId="23883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14.3pt;height:134.9pt;z-index:-251658240;mso-position-horizontal-relative:page;mso-position-vertical-relative:page">
          <v:imagedata r:id="rId1" o:title="09150_WordMastPg1"/>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3AA"/>
    <w:rsid w:val="00004F54"/>
    <w:rsid w:val="00005700"/>
    <w:rsid w:val="00005F75"/>
    <w:rsid w:val="00020B7D"/>
    <w:rsid w:val="0002159D"/>
    <w:rsid w:val="0002600F"/>
    <w:rsid w:val="000271DD"/>
    <w:rsid w:val="00027A5C"/>
    <w:rsid w:val="00031E18"/>
    <w:rsid w:val="000329F0"/>
    <w:rsid w:val="00032C5F"/>
    <w:rsid w:val="0003753E"/>
    <w:rsid w:val="0004212A"/>
    <w:rsid w:val="000441EC"/>
    <w:rsid w:val="00045F17"/>
    <w:rsid w:val="00050D0C"/>
    <w:rsid w:val="00050D49"/>
    <w:rsid w:val="000528D7"/>
    <w:rsid w:val="000633FD"/>
    <w:rsid w:val="00066237"/>
    <w:rsid w:val="00066622"/>
    <w:rsid w:val="000724A2"/>
    <w:rsid w:val="00076486"/>
    <w:rsid w:val="0009479B"/>
    <w:rsid w:val="000949CD"/>
    <w:rsid w:val="0009520C"/>
    <w:rsid w:val="000952E7"/>
    <w:rsid w:val="000A08FC"/>
    <w:rsid w:val="000A2B06"/>
    <w:rsid w:val="000A3841"/>
    <w:rsid w:val="000A7546"/>
    <w:rsid w:val="000B07D6"/>
    <w:rsid w:val="000B29A3"/>
    <w:rsid w:val="000C205B"/>
    <w:rsid w:val="000C6602"/>
    <w:rsid w:val="000D0110"/>
    <w:rsid w:val="000D1E5B"/>
    <w:rsid w:val="000D5B7C"/>
    <w:rsid w:val="000D6025"/>
    <w:rsid w:val="000D648F"/>
    <w:rsid w:val="000D6F8C"/>
    <w:rsid w:val="000E0825"/>
    <w:rsid w:val="000E40E0"/>
    <w:rsid w:val="000F1B26"/>
    <w:rsid w:val="000F3616"/>
    <w:rsid w:val="000F56A8"/>
    <w:rsid w:val="0010313F"/>
    <w:rsid w:val="0010534A"/>
    <w:rsid w:val="00112A92"/>
    <w:rsid w:val="001169FB"/>
    <w:rsid w:val="00123C3C"/>
    <w:rsid w:val="00127C1C"/>
    <w:rsid w:val="00130D3B"/>
    <w:rsid w:val="001316C7"/>
    <w:rsid w:val="0013380C"/>
    <w:rsid w:val="00141227"/>
    <w:rsid w:val="00141B0A"/>
    <w:rsid w:val="00141F9D"/>
    <w:rsid w:val="001507E2"/>
    <w:rsid w:val="001522DA"/>
    <w:rsid w:val="00153C4B"/>
    <w:rsid w:val="0016002D"/>
    <w:rsid w:val="0016035E"/>
    <w:rsid w:val="00162290"/>
    <w:rsid w:val="00164658"/>
    <w:rsid w:val="00165D29"/>
    <w:rsid w:val="001803B9"/>
    <w:rsid w:val="001860A1"/>
    <w:rsid w:val="0019432E"/>
    <w:rsid w:val="00194F2D"/>
    <w:rsid w:val="00196AF6"/>
    <w:rsid w:val="001A0E3E"/>
    <w:rsid w:val="001A6133"/>
    <w:rsid w:val="001A6AEF"/>
    <w:rsid w:val="001A6F5A"/>
    <w:rsid w:val="001B2B77"/>
    <w:rsid w:val="001B51E2"/>
    <w:rsid w:val="001B7232"/>
    <w:rsid w:val="001B7720"/>
    <w:rsid w:val="001B7ABE"/>
    <w:rsid w:val="001C1064"/>
    <w:rsid w:val="001C149D"/>
    <w:rsid w:val="001C1DD0"/>
    <w:rsid w:val="001D1463"/>
    <w:rsid w:val="001D38D0"/>
    <w:rsid w:val="001D5002"/>
    <w:rsid w:val="001D55D9"/>
    <w:rsid w:val="001E2E4A"/>
    <w:rsid w:val="001E58A7"/>
    <w:rsid w:val="001E5F59"/>
    <w:rsid w:val="001E60E2"/>
    <w:rsid w:val="001E6BC2"/>
    <w:rsid w:val="001E73AA"/>
    <w:rsid w:val="001F4187"/>
    <w:rsid w:val="001F76E6"/>
    <w:rsid w:val="00203CE2"/>
    <w:rsid w:val="00214492"/>
    <w:rsid w:val="00216649"/>
    <w:rsid w:val="0022426A"/>
    <w:rsid w:val="00226C73"/>
    <w:rsid w:val="0023051F"/>
    <w:rsid w:val="002379EF"/>
    <w:rsid w:val="00240B2B"/>
    <w:rsid w:val="00241C0A"/>
    <w:rsid w:val="00244BAE"/>
    <w:rsid w:val="0025106D"/>
    <w:rsid w:val="0025156C"/>
    <w:rsid w:val="0025392B"/>
    <w:rsid w:val="002557F1"/>
    <w:rsid w:val="00257BAD"/>
    <w:rsid w:val="00261B76"/>
    <w:rsid w:val="002676B1"/>
    <w:rsid w:val="00271441"/>
    <w:rsid w:val="00271BB6"/>
    <w:rsid w:val="00273C9D"/>
    <w:rsid w:val="00276513"/>
    <w:rsid w:val="002769E9"/>
    <w:rsid w:val="00276BFF"/>
    <w:rsid w:val="00281A83"/>
    <w:rsid w:val="00281D2C"/>
    <w:rsid w:val="0029074C"/>
    <w:rsid w:val="002A17DE"/>
    <w:rsid w:val="002A1C7D"/>
    <w:rsid w:val="002A7CBD"/>
    <w:rsid w:val="002B45F6"/>
    <w:rsid w:val="002B73EF"/>
    <w:rsid w:val="002B77A1"/>
    <w:rsid w:val="002C2C25"/>
    <w:rsid w:val="002C44A7"/>
    <w:rsid w:val="002C6C7A"/>
    <w:rsid w:val="002D1C32"/>
    <w:rsid w:val="002D2236"/>
    <w:rsid w:val="002D4D1A"/>
    <w:rsid w:val="002E742E"/>
    <w:rsid w:val="00307125"/>
    <w:rsid w:val="003218BD"/>
    <w:rsid w:val="003364AF"/>
    <w:rsid w:val="00337B99"/>
    <w:rsid w:val="0034051E"/>
    <w:rsid w:val="003522FD"/>
    <w:rsid w:val="00361E35"/>
    <w:rsid w:val="003645EF"/>
    <w:rsid w:val="0036633A"/>
    <w:rsid w:val="00370867"/>
    <w:rsid w:val="00371091"/>
    <w:rsid w:val="00373DBF"/>
    <w:rsid w:val="00383380"/>
    <w:rsid w:val="00385A9C"/>
    <w:rsid w:val="00387E8D"/>
    <w:rsid w:val="003917C9"/>
    <w:rsid w:val="00392F95"/>
    <w:rsid w:val="00396740"/>
    <w:rsid w:val="00397446"/>
    <w:rsid w:val="003979F4"/>
    <w:rsid w:val="003A0D02"/>
    <w:rsid w:val="003A1AA4"/>
    <w:rsid w:val="003B039F"/>
    <w:rsid w:val="003B20F3"/>
    <w:rsid w:val="003B7ED5"/>
    <w:rsid w:val="003C0012"/>
    <w:rsid w:val="003C3903"/>
    <w:rsid w:val="003D1C82"/>
    <w:rsid w:val="003D5905"/>
    <w:rsid w:val="003F0BE7"/>
    <w:rsid w:val="003F0D76"/>
    <w:rsid w:val="003F0F40"/>
    <w:rsid w:val="003F6685"/>
    <w:rsid w:val="003F716F"/>
    <w:rsid w:val="0040157B"/>
    <w:rsid w:val="004017F0"/>
    <w:rsid w:val="004029D0"/>
    <w:rsid w:val="00402CE4"/>
    <w:rsid w:val="00406F48"/>
    <w:rsid w:val="00413286"/>
    <w:rsid w:val="00413C35"/>
    <w:rsid w:val="00431098"/>
    <w:rsid w:val="004349C1"/>
    <w:rsid w:val="0043580A"/>
    <w:rsid w:val="00442911"/>
    <w:rsid w:val="00444201"/>
    <w:rsid w:val="00445D3A"/>
    <w:rsid w:val="00446718"/>
    <w:rsid w:val="004534C2"/>
    <w:rsid w:val="00454E07"/>
    <w:rsid w:val="00455C28"/>
    <w:rsid w:val="00462D22"/>
    <w:rsid w:val="004655BD"/>
    <w:rsid w:val="00470648"/>
    <w:rsid w:val="00477A2C"/>
    <w:rsid w:val="00490205"/>
    <w:rsid w:val="00491DE0"/>
    <w:rsid w:val="0049221A"/>
    <w:rsid w:val="00494307"/>
    <w:rsid w:val="0049644A"/>
    <w:rsid w:val="004A7674"/>
    <w:rsid w:val="004B4682"/>
    <w:rsid w:val="004C0CBB"/>
    <w:rsid w:val="004C1BDA"/>
    <w:rsid w:val="004C570B"/>
    <w:rsid w:val="004D0838"/>
    <w:rsid w:val="004D484D"/>
    <w:rsid w:val="004E20F9"/>
    <w:rsid w:val="004E30D3"/>
    <w:rsid w:val="004F3022"/>
    <w:rsid w:val="004F3AF3"/>
    <w:rsid w:val="004F676B"/>
    <w:rsid w:val="00500F64"/>
    <w:rsid w:val="005017A7"/>
    <w:rsid w:val="00501FFB"/>
    <w:rsid w:val="00503327"/>
    <w:rsid w:val="00504B37"/>
    <w:rsid w:val="005051A9"/>
    <w:rsid w:val="005133F9"/>
    <w:rsid w:val="00520098"/>
    <w:rsid w:val="005216BA"/>
    <w:rsid w:val="005226E7"/>
    <w:rsid w:val="00524BFB"/>
    <w:rsid w:val="00527371"/>
    <w:rsid w:val="005307CD"/>
    <w:rsid w:val="00531482"/>
    <w:rsid w:val="00551DFB"/>
    <w:rsid w:val="0055266E"/>
    <w:rsid w:val="00552F46"/>
    <w:rsid w:val="005535B6"/>
    <w:rsid w:val="0056405D"/>
    <w:rsid w:val="00570167"/>
    <w:rsid w:val="00570803"/>
    <w:rsid w:val="00575545"/>
    <w:rsid w:val="0058140B"/>
    <w:rsid w:val="00586DC8"/>
    <w:rsid w:val="0058742A"/>
    <w:rsid w:val="005A2D66"/>
    <w:rsid w:val="005C01E2"/>
    <w:rsid w:val="005C6F43"/>
    <w:rsid w:val="005C7DA9"/>
    <w:rsid w:val="005C7DC5"/>
    <w:rsid w:val="005D11F7"/>
    <w:rsid w:val="005D75F8"/>
    <w:rsid w:val="005E0857"/>
    <w:rsid w:val="005E56A2"/>
    <w:rsid w:val="005F0DAF"/>
    <w:rsid w:val="00600A6C"/>
    <w:rsid w:val="00605327"/>
    <w:rsid w:val="00613EFE"/>
    <w:rsid w:val="00614680"/>
    <w:rsid w:val="00617FE8"/>
    <w:rsid w:val="00620903"/>
    <w:rsid w:val="006227B4"/>
    <w:rsid w:val="006241CC"/>
    <w:rsid w:val="00624443"/>
    <w:rsid w:val="0062476A"/>
    <w:rsid w:val="0062478B"/>
    <w:rsid w:val="00625EA1"/>
    <w:rsid w:val="00633A7B"/>
    <w:rsid w:val="0063498E"/>
    <w:rsid w:val="00647E7C"/>
    <w:rsid w:val="00650747"/>
    <w:rsid w:val="00652AE1"/>
    <w:rsid w:val="00661969"/>
    <w:rsid w:val="00664FA5"/>
    <w:rsid w:val="006670F0"/>
    <w:rsid w:val="00674095"/>
    <w:rsid w:val="00677660"/>
    <w:rsid w:val="006777B9"/>
    <w:rsid w:val="00683993"/>
    <w:rsid w:val="00683F7B"/>
    <w:rsid w:val="00684E6A"/>
    <w:rsid w:val="00696437"/>
    <w:rsid w:val="006A0612"/>
    <w:rsid w:val="006A2ACD"/>
    <w:rsid w:val="006C09AE"/>
    <w:rsid w:val="006C1FB4"/>
    <w:rsid w:val="006C4513"/>
    <w:rsid w:val="006C7548"/>
    <w:rsid w:val="006D024C"/>
    <w:rsid w:val="006D256F"/>
    <w:rsid w:val="006D5B0A"/>
    <w:rsid w:val="006D5CAE"/>
    <w:rsid w:val="006D64D5"/>
    <w:rsid w:val="006F1B61"/>
    <w:rsid w:val="006F5EE8"/>
    <w:rsid w:val="00701077"/>
    <w:rsid w:val="007044CE"/>
    <w:rsid w:val="0070510E"/>
    <w:rsid w:val="00705A94"/>
    <w:rsid w:val="00707321"/>
    <w:rsid w:val="00707DF3"/>
    <w:rsid w:val="007122E0"/>
    <w:rsid w:val="007129CA"/>
    <w:rsid w:val="007140C5"/>
    <w:rsid w:val="00717CE2"/>
    <w:rsid w:val="00721613"/>
    <w:rsid w:val="0072207D"/>
    <w:rsid w:val="00724452"/>
    <w:rsid w:val="00740326"/>
    <w:rsid w:val="0074447C"/>
    <w:rsid w:val="007510A5"/>
    <w:rsid w:val="007525F2"/>
    <w:rsid w:val="007544F0"/>
    <w:rsid w:val="0076747A"/>
    <w:rsid w:val="00767C59"/>
    <w:rsid w:val="00770422"/>
    <w:rsid w:val="0078136A"/>
    <w:rsid w:val="00781C13"/>
    <w:rsid w:val="0078279A"/>
    <w:rsid w:val="007876C7"/>
    <w:rsid w:val="007920B1"/>
    <w:rsid w:val="007A1ADD"/>
    <w:rsid w:val="007A3E88"/>
    <w:rsid w:val="007A4173"/>
    <w:rsid w:val="007B7761"/>
    <w:rsid w:val="007C08B2"/>
    <w:rsid w:val="007C4AB6"/>
    <w:rsid w:val="007C6ADA"/>
    <w:rsid w:val="007D2FE6"/>
    <w:rsid w:val="007D7FB3"/>
    <w:rsid w:val="007E0CE7"/>
    <w:rsid w:val="007E660A"/>
    <w:rsid w:val="0080596E"/>
    <w:rsid w:val="00813AD1"/>
    <w:rsid w:val="008303BF"/>
    <w:rsid w:val="00830BA1"/>
    <w:rsid w:val="00830F7A"/>
    <w:rsid w:val="008412F5"/>
    <w:rsid w:val="00845092"/>
    <w:rsid w:val="008503BD"/>
    <w:rsid w:val="008621AA"/>
    <w:rsid w:val="00863C9A"/>
    <w:rsid w:val="00865984"/>
    <w:rsid w:val="00887FA8"/>
    <w:rsid w:val="00894668"/>
    <w:rsid w:val="00895529"/>
    <w:rsid w:val="008A1B6C"/>
    <w:rsid w:val="008C24C5"/>
    <w:rsid w:val="008C55F1"/>
    <w:rsid w:val="008C77A4"/>
    <w:rsid w:val="008D1648"/>
    <w:rsid w:val="008D1C7C"/>
    <w:rsid w:val="008D38B1"/>
    <w:rsid w:val="008D3C9F"/>
    <w:rsid w:val="008E0801"/>
    <w:rsid w:val="008E3FE3"/>
    <w:rsid w:val="008E5205"/>
    <w:rsid w:val="008F2C20"/>
    <w:rsid w:val="008F3F75"/>
    <w:rsid w:val="008F4720"/>
    <w:rsid w:val="008F6291"/>
    <w:rsid w:val="008F746A"/>
    <w:rsid w:val="009030FE"/>
    <w:rsid w:val="00904D83"/>
    <w:rsid w:val="00915F1F"/>
    <w:rsid w:val="00917CE5"/>
    <w:rsid w:val="00920E7B"/>
    <w:rsid w:val="00923446"/>
    <w:rsid w:val="009239FD"/>
    <w:rsid w:val="00923EC6"/>
    <w:rsid w:val="009424A3"/>
    <w:rsid w:val="009453D6"/>
    <w:rsid w:val="00953ACC"/>
    <w:rsid w:val="00953FBC"/>
    <w:rsid w:val="009570DB"/>
    <w:rsid w:val="00964816"/>
    <w:rsid w:val="009653CB"/>
    <w:rsid w:val="009748AA"/>
    <w:rsid w:val="00974E0D"/>
    <w:rsid w:val="009754D1"/>
    <w:rsid w:val="009766E7"/>
    <w:rsid w:val="00976708"/>
    <w:rsid w:val="00982470"/>
    <w:rsid w:val="00984F8A"/>
    <w:rsid w:val="00986E9B"/>
    <w:rsid w:val="00987E18"/>
    <w:rsid w:val="009915B7"/>
    <w:rsid w:val="00993B5F"/>
    <w:rsid w:val="009959F1"/>
    <w:rsid w:val="009A0DEA"/>
    <w:rsid w:val="009A7989"/>
    <w:rsid w:val="009B06F4"/>
    <w:rsid w:val="009C3113"/>
    <w:rsid w:val="009C4982"/>
    <w:rsid w:val="009D16A9"/>
    <w:rsid w:val="009D6994"/>
    <w:rsid w:val="009D72F0"/>
    <w:rsid w:val="009E45FE"/>
    <w:rsid w:val="009F298F"/>
    <w:rsid w:val="009F2CDB"/>
    <w:rsid w:val="009F3A32"/>
    <w:rsid w:val="00A041E2"/>
    <w:rsid w:val="00A05F22"/>
    <w:rsid w:val="00A06430"/>
    <w:rsid w:val="00A06D3B"/>
    <w:rsid w:val="00A07ACA"/>
    <w:rsid w:val="00A12C64"/>
    <w:rsid w:val="00A138E8"/>
    <w:rsid w:val="00A16B12"/>
    <w:rsid w:val="00A22D97"/>
    <w:rsid w:val="00A26540"/>
    <w:rsid w:val="00A27233"/>
    <w:rsid w:val="00A345FB"/>
    <w:rsid w:val="00A35ED1"/>
    <w:rsid w:val="00A45985"/>
    <w:rsid w:val="00A466CB"/>
    <w:rsid w:val="00A5370C"/>
    <w:rsid w:val="00A5546D"/>
    <w:rsid w:val="00A557A2"/>
    <w:rsid w:val="00A5632A"/>
    <w:rsid w:val="00A60B27"/>
    <w:rsid w:val="00A6499A"/>
    <w:rsid w:val="00A70ABC"/>
    <w:rsid w:val="00A71C2E"/>
    <w:rsid w:val="00A730A0"/>
    <w:rsid w:val="00A744B7"/>
    <w:rsid w:val="00A77C43"/>
    <w:rsid w:val="00A84B19"/>
    <w:rsid w:val="00A85AE3"/>
    <w:rsid w:val="00AA1281"/>
    <w:rsid w:val="00AB3C4C"/>
    <w:rsid w:val="00AB6C5A"/>
    <w:rsid w:val="00AB7CF7"/>
    <w:rsid w:val="00AC3574"/>
    <w:rsid w:val="00AC75B1"/>
    <w:rsid w:val="00AD219C"/>
    <w:rsid w:val="00AD341F"/>
    <w:rsid w:val="00AE49F0"/>
    <w:rsid w:val="00AE50E7"/>
    <w:rsid w:val="00AE58A2"/>
    <w:rsid w:val="00AE689F"/>
    <w:rsid w:val="00AF6B07"/>
    <w:rsid w:val="00B02180"/>
    <w:rsid w:val="00B03A72"/>
    <w:rsid w:val="00B059CC"/>
    <w:rsid w:val="00B1031E"/>
    <w:rsid w:val="00B10DC5"/>
    <w:rsid w:val="00B1278A"/>
    <w:rsid w:val="00B174EE"/>
    <w:rsid w:val="00B17C19"/>
    <w:rsid w:val="00B20DAA"/>
    <w:rsid w:val="00B31043"/>
    <w:rsid w:val="00B4094A"/>
    <w:rsid w:val="00B42401"/>
    <w:rsid w:val="00B4471D"/>
    <w:rsid w:val="00B56EB3"/>
    <w:rsid w:val="00B70D06"/>
    <w:rsid w:val="00B70E7E"/>
    <w:rsid w:val="00B74564"/>
    <w:rsid w:val="00B762A4"/>
    <w:rsid w:val="00B80DF5"/>
    <w:rsid w:val="00B86709"/>
    <w:rsid w:val="00B877BA"/>
    <w:rsid w:val="00B971CD"/>
    <w:rsid w:val="00BA60E9"/>
    <w:rsid w:val="00BB40DA"/>
    <w:rsid w:val="00BB7553"/>
    <w:rsid w:val="00BC2D61"/>
    <w:rsid w:val="00BC3E1F"/>
    <w:rsid w:val="00BC7BBD"/>
    <w:rsid w:val="00BD17B8"/>
    <w:rsid w:val="00BD5B8A"/>
    <w:rsid w:val="00BE08D0"/>
    <w:rsid w:val="00BE56DA"/>
    <w:rsid w:val="00BF208F"/>
    <w:rsid w:val="00C11D31"/>
    <w:rsid w:val="00C202C0"/>
    <w:rsid w:val="00C20625"/>
    <w:rsid w:val="00C27B60"/>
    <w:rsid w:val="00C414DA"/>
    <w:rsid w:val="00C42AB6"/>
    <w:rsid w:val="00C43F00"/>
    <w:rsid w:val="00C47E7D"/>
    <w:rsid w:val="00C5276F"/>
    <w:rsid w:val="00C5310E"/>
    <w:rsid w:val="00C5315A"/>
    <w:rsid w:val="00C55155"/>
    <w:rsid w:val="00C57EA6"/>
    <w:rsid w:val="00C67538"/>
    <w:rsid w:val="00C74D1F"/>
    <w:rsid w:val="00C80A23"/>
    <w:rsid w:val="00CA0434"/>
    <w:rsid w:val="00CA2491"/>
    <w:rsid w:val="00CB2847"/>
    <w:rsid w:val="00CB43B2"/>
    <w:rsid w:val="00CC0BC5"/>
    <w:rsid w:val="00CC6179"/>
    <w:rsid w:val="00CC638B"/>
    <w:rsid w:val="00CD3693"/>
    <w:rsid w:val="00CD4DFB"/>
    <w:rsid w:val="00CD579C"/>
    <w:rsid w:val="00CE3A12"/>
    <w:rsid w:val="00CE5965"/>
    <w:rsid w:val="00CE7E22"/>
    <w:rsid w:val="00CF04DC"/>
    <w:rsid w:val="00CF2A93"/>
    <w:rsid w:val="00CF55F6"/>
    <w:rsid w:val="00D10038"/>
    <w:rsid w:val="00D116BE"/>
    <w:rsid w:val="00D14879"/>
    <w:rsid w:val="00D14AEE"/>
    <w:rsid w:val="00D163A6"/>
    <w:rsid w:val="00D25516"/>
    <w:rsid w:val="00D25DF3"/>
    <w:rsid w:val="00D272B4"/>
    <w:rsid w:val="00D30096"/>
    <w:rsid w:val="00D30B3E"/>
    <w:rsid w:val="00D31C6A"/>
    <w:rsid w:val="00D36870"/>
    <w:rsid w:val="00D40906"/>
    <w:rsid w:val="00D40FEA"/>
    <w:rsid w:val="00D417B4"/>
    <w:rsid w:val="00D43208"/>
    <w:rsid w:val="00D4362A"/>
    <w:rsid w:val="00D4571C"/>
    <w:rsid w:val="00D4785D"/>
    <w:rsid w:val="00D56D71"/>
    <w:rsid w:val="00D60151"/>
    <w:rsid w:val="00D6367B"/>
    <w:rsid w:val="00D66302"/>
    <w:rsid w:val="00D6672E"/>
    <w:rsid w:val="00D744DF"/>
    <w:rsid w:val="00D81A68"/>
    <w:rsid w:val="00D825CC"/>
    <w:rsid w:val="00D83242"/>
    <w:rsid w:val="00D836CF"/>
    <w:rsid w:val="00D954A4"/>
    <w:rsid w:val="00DA10D5"/>
    <w:rsid w:val="00DA6D0D"/>
    <w:rsid w:val="00DB0D1C"/>
    <w:rsid w:val="00DC0751"/>
    <w:rsid w:val="00DC70B9"/>
    <w:rsid w:val="00DC74B1"/>
    <w:rsid w:val="00DD0669"/>
    <w:rsid w:val="00DD5395"/>
    <w:rsid w:val="00DD57B5"/>
    <w:rsid w:val="00DE06FE"/>
    <w:rsid w:val="00DE7905"/>
    <w:rsid w:val="00DF1665"/>
    <w:rsid w:val="00DF2503"/>
    <w:rsid w:val="00DF4DA3"/>
    <w:rsid w:val="00E01560"/>
    <w:rsid w:val="00E026D1"/>
    <w:rsid w:val="00E06C53"/>
    <w:rsid w:val="00E121DE"/>
    <w:rsid w:val="00E12377"/>
    <w:rsid w:val="00E13407"/>
    <w:rsid w:val="00E13D39"/>
    <w:rsid w:val="00E171FF"/>
    <w:rsid w:val="00E24497"/>
    <w:rsid w:val="00E263CB"/>
    <w:rsid w:val="00E26D8D"/>
    <w:rsid w:val="00E27996"/>
    <w:rsid w:val="00E33C6B"/>
    <w:rsid w:val="00E34966"/>
    <w:rsid w:val="00E35146"/>
    <w:rsid w:val="00E35269"/>
    <w:rsid w:val="00E37953"/>
    <w:rsid w:val="00E40445"/>
    <w:rsid w:val="00E4178E"/>
    <w:rsid w:val="00E43C4A"/>
    <w:rsid w:val="00E45F37"/>
    <w:rsid w:val="00E47738"/>
    <w:rsid w:val="00E54B09"/>
    <w:rsid w:val="00E65ED0"/>
    <w:rsid w:val="00E71834"/>
    <w:rsid w:val="00E73FC4"/>
    <w:rsid w:val="00E76CAB"/>
    <w:rsid w:val="00E80293"/>
    <w:rsid w:val="00E830C4"/>
    <w:rsid w:val="00E945DA"/>
    <w:rsid w:val="00E97C3D"/>
    <w:rsid w:val="00E97FE1"/>
    <w:rsid w:val="00EA029E"/>
    <w:rsid w:val="00EA1B8C"/>
    <w:rsid w:val="00EA1BBF"/>
    <w:rsid w:val="00EA2E35"/>
    <w:rsid w:val="00EA64D6"/>
    <w:rsid w:val="00EB0291"/>
    <w:rsid w:val="00EB5EC4"/>
    <w:rsid w:val="00EC3692"/>
    <w:rsid w:val="00EC48C5"/>
    <w:rsid w:val="00EC5D50"/>
    <w:rsid w:val="00EC7285"/>
    <w:rsid w:val="00ED46C3"/>
    <w:rsid w:val="00ED49B8"/>
    <w:rsid w:val="00ED7442"/>
    <w:rsid w:val="00EE216C"/>
    <w:rsid w:val="00EE3555"/>
    <w:rsid w:val="00EE5DFA"/>
    <w:rsid w:val="00EF2B58"/>
    <w:rsid w:val="00EF549F"/>
    <w:rsid w:val="00EF5765"/>
    <w:rsid w:val="00EF5FC6"/>
    <w:rsid w:val="00EF66E6"/>
    <w:rsid w:val="00EF6D65"/>
    <w:rsid w:val="00F00959"/>
    <w:rsid w:val="00F01743"/>
    <w:rsid w:val="00F0228C"/>
    <w:rsid w:val="00F05B8B"/>
    <w:rsid w:val="00F11917"/>
    <w:rsid w:val="00F17C59"/>
    <w:rsid w:val="00F2412E"/>
    <w:rsid w:val="00F24F7E"/>
    <w:rsid w:val="00F26E65"/>
    <w:rsid w:val="00F2712A"/>
    <w:rsid w:val="00F30806"/>
    <w:rsid w:val="00F32D47"/>
    <w:rsid w:val="00F33531"/>
    <w:rsid w:val="00F33D1C"/>
    <w:rsid w:val="00F3700A"/>
    <w:rsid w:val="00F4142D"/>
    <w:rsid w:val="00F42A5F"/>
    <w:rsid w:val="00F54E40"/>
    <w:rsid w:val="00F639E5"/>
    <w:rsid w:val="00F658BA"/>
    <w:rsid w:val="00F70FEC"/>
    <w:rsid w:val="00F71944"/>
    <w:rsid w:val="00F728FE"/>
    <w:rsid w:val="00F73D85"/>
    <w:rsid w:val="00F83A98"/>
    <w:rsid w:val="00F93058"/>
    <w:rsid w:val="00F97892"/>
    <w:rsid w:val="00FA4DE0"/>
    <w:rsid w:val="00FA5B90"/>
    <w:rsid w:val="00FA659C"/>
    <w:rsid w:val="00FB0827"/>
    <w:rsid w:val="00FC5947"/>
    <w:rsid w:val="00FD1FFB"/>
    <w:rsid w:val="00FE2296"/>
    <w:rsid w:val="00FF570B"/>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B86F3A8"/>
  <w15:chartTrackingRefBased/>
  <w15:docId w15:val="{297DDC3C-ABE4-4A6D-AFB1-323AB13E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004483"/>
      <w:sz w:val="28"/>
    </w:rPr>
  </w:style>
  <w:style w:type="paragraph" w:styleId="Heading2">
    <w:name w:val="heading 2"/>
    <w:basedOn w:val="Normal"/>
    <w:next w:val="Normal"/>
    <w:qFormat/>
    <w:rsid w:val="00EC369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369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ucturedNotesBody">
    <w:name w:val="Structured Notes Body"/>
    <w:basedOn w:val="Normal"/>
    <w:pPr>
      <w:spacing w:before="160" w:line="320" w:lineRule="exact"/>
      <w:ind w:left="2880" w:hanging="2880"/>
    </w:pPr>
    <w:rPr>
      <w:rFonts w:ascii="Arial" w:hAnsi="Arial"/>
      <w:sz w:val="20"/>
    </w:rPr>
  </w:style>
  <w:style w:type="paragraph" w:styleId="Header">
    <w:name w:val="header"/>
    <w:basedOn w:val="Normal"/>
    <w:rsid w:val="00EC3692"/>
    <w:pPr>
      <w:tabs>
        <w:tab w:val="center" w:pos="4320"/>
        <w:tab w:val="right" w:pos="8640"/>
      </w:tabs>
    </w:pPr>
    <w:rPr>
      <w:rFonts w:ascii="Times New Roman" w:eastAsia="Times New Roman" w:hAnsi="Times New Roman"/>
      <w:szCs w:val="24"/>
    </w:rPr>
  </w:style>
  <w:style w:type="character" w:customStyle="1" w:styleId="DeltaViewInsertion">
    <w:name w:val="DeltaView Insertion"/>
    <w:uiPriority w:val="29"/>
    <w:qFormat/>
    <w:rsid w:val="00EC3692"/>
    <w:rPr>
      <w:color w:val="0000FF"/>
      <w:spacing w:val="0"/>
      <w:u w:val="double"/>
    </w:rPr>
  </w:style>
  <w:style w:type="paragraph" w:styleId="HTMLPreformatted">
    <w:name w:val="HTML Preformatted"/>
    <w:basedOn w:val="Normal"/>
    <w:link w:val="HTMLPreformattedChar"/>
    <w:rsid w:val="00EE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DeltaViewDeletion">
    <w:name w:val="DeltaView Deletion"/>
    <w:uiPriority w:val="29"/>
    <w:qFormat/>
    <w:rsid w:val="00D14AEE"/>
    <w:rPr>
      <w:strike/>
      <w:color w:val="FF0000"/>
    </w:rPr>
  </w:style>
  <w:style w:type="paragraph" w:styleId="BalloonText">
    <w:name w:val="Balloon Text"/>
    <w:basedOn w:val="Normal"/>
    <w:link w:val="BalloonTextChar"/>
    <w:rsid w:val="003218BD"/>
    <w:rPr>
      <w:rFonts w:ascii="Segoe UI" w:hAnsi="Segoe UI" w:cs="Segoe UI"/>
      <w:sz w:val="18"/>
      <w:szCs w:val="18"/>
    </w:rPr>
  </w:style>
  <w:style w:type="character" w:customStyle="1" w:styleId="BalloonTextChar">
    <w:name w:val="Balloon Text Char"/>
    <w:link w:val="BalloonText"/>
    <w:rsid w:val="003218BD"/>
    <w:rPr>
      <w:rFonts w:ascii="Segoe UI" w:hAnsi="Segoe UI" w:cs="Segoe UI"/>
      <w:sz w:val="18"/>
      <w:szCs w:val="18"/>
    </w:rPr>
  </w:style>
  <w:style w:type="character" w:styleId="Hyperlink">
    <w:name w:val="Hyperlink"/>
    <w:rsid w:val="003218BD"/>
    <w:rPr>
      <w:color w:val="0563C1"/>
      <w:u w:val="single"/>
    </w:rPr>
  </w:style>
  <w:style w:type="paragraph" w:styleId="Footer">
    <w:name w:val="footer"/>
    <w:basedOn w:val="Normal"/>
    <w:link w:val="FooterChar"/>
    <w:uiPriority w:val="99"/>
    <w:rsid w:val="00BD17B8"/>
    <w:pPr>
      <w:tabs>
        <w:tab w:val="center" w:pos="4680"/>
        <w:tab w:val="right" w:pos="9360"/>
      </w:tabs>
    </w:pPr>
  </w:style>
  <w:style w:type="character" w:customStyle="1" w:styleId="FooterChar">
    <w:name w:val="Footer Char"/>
    <w:link w:val="Footer"/>
    <w:uiPriority w:val="99"/>
    <w:rsid w:val="00BD17B8"/>
    <w:rPr>
      <w:sz w:val="24"/>
    </w:rPr>
  </w:style>
  <w:style w:type="character" w:styleId="FollowedHyperlink">
    <w:name w:val="FollowedHyperlink"/>
    <w:rsid w:val="007A3E88"/>
    <w:rPr>
      <w:color w:val="954F72"/>
      <w:u w:val="single"/>
    </w:rPr>
  </w:style>
  <w:style w:type="character" w:customStyle="1" w:styleId="HTMLPreformattedChar">
    <w:name w:val="HTML Preformatted Char"/>
    <w:link w:val="HTMLPreformatted"/>
    <w:rsid w:val="00276513"/>
    <w:rPr>
      <w:rFonts w:ascii="Courier New" w:eastAsia="Times New Roman" w:hAnsi="Courier New" w:cs="Courier New"/>
    </w:rPr>
  </w:style>
  <w:style w:type="paragraph" w:styleId="Revision">
    <w:name w:val="Revision"/>
    <w:hidden/>
    <w:uiPriority w:val="99"/>
    <w:semiHidden/>
    <w:rsid w:val="006241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373">
      <w:bodyDiv w:val="1"/>
      <w:marLeft w:val="0"/>
      <w:marRight w:val="0"/>
      <w:marTop w:val="0"/>
      <w:marBottom w:val="0"/>
      <w:divBdr>
        <w:top w:val="none" w:sz="0" w:space="0" w:color="auto"/>
        <w:left w:val="none" w:sz="0" w:space="0" w:color="auto"/>
        <w:bottom w:val="none" w:sz="0" w:space="0" w:color="auto"/>
        <w:right w:val="none" w:sz="0" w:space="0" w:color="auto"/>
      </w:divBdr>
    </w:div>
    <w:div w:id="643588818">
      <w:bodyDiv w:val="1"/>
      <w:marLeft w:val="0"/>
      <w:marRight w:val="0"/>
      <w:marTop w:val="0"/>
      <w:marBottom w:val="0"/>
      <w:divBdr>
        <w:top w:val="none" w:sz="0" w:space="0" w:color="auto"/>
        <w:left w:val="none" w:sz="0" w:space="0" w:color="auto"/>
        <w:bottom w:val="none" w:sz="0" w:space="0" w:color="auto"/>
        <w:right w:val="none" w:sz="0" w:space="0" w:color="auto"/>
      </w:divBdr>
    </w:div>
    <w:div w:id="1045714579">
      <w:bodyDiv w:val="1"/>
      <w:marLeft w:val="0"/>
      <w:marRight w:val="0"/>
      <w:marTop w:val="0"/>
      <w:marBottom w:val="0"/>
      <w:divBdr>
        <w:top w:val="none" w:sz="0" w:space="0" w:color="auto"/>
        <w:left w:val="none" w:sz="0" w:space="0" w:color="auto"/>
        <w:bottom w:val="none" w:sz="0" w:space="0" w:color="auto"/>
        <w:right w:val="none" w:sz="0" w:space="0" w:color="auto"/>
      </w:divBdr>
    </w:div>
    <w:div w:id="1160392400">
      <w:bodyDiv w:val="1"/>
      <w:marLeft w:val="0"/>
      <w:marRight w:val="0"/>
      <w:marTop w:val="0"/>
      <w:marBottom w:val="0"/>
      <w:divBdr>
        <w:top w:val="none" w:sz="0" w:space="0" w:color="auto"/>
        <w:left w:val="none" w:sz="0" w:space="0" w:color="auto"/>
        <w:bottom w:val="none" w:sz="0" w:space="0" w:color="auto"/>
        <w:right w:val="none" w:sz="0" w:space="0" w:color="auto"/>
      </w:divBdr>
    </w:div>
    <w:div w:id="1499270279">
      <w:bodyDiv w:val="1"/>
      <w:marLeft w:val="0"/>
      <w:marRight w:val="0"/>
      <w:marTop w:val="0"/>
      <w:marBottom w:val="0"/>
      <w:divBdr>
        <w:top w:val="none" w:sz="0" w:space="0" w:color="auto"/>
        <w:left w:val="none" w:sz="0" w:space="0" w:color="auto"/>
        <w:bottom w:val="none" w:sz="0" w:space="0" w:color="auto"/>
        <w:right w:val="none" w:sz="0" w:space="0" w:color="auto"/>
      </w:divBdr>
    </w:div>
    <w:div w:id="1838768096">
      <w:bodyDiv w:val="1"/>
      <w:marLeft w:val="0"/>
      <w:marRight w:val="0"/>
      <w:marTop w:val="0"/>
      <w:marBottom w:val="0"/>
      <w:divBdr>
        <w:top w:val="none" w:sz="0" w:space="0" w:color="auto"/>
        <w:left w:val="none" w:sz="0" w:space="0" w:color="auto"/>
        <w:bottom w:val="none" w:sz="0" w:space="0" w:color="auto"/>
        <w:right w:val="none" w:sz="0" w:space="0" w:color="auto"/>
      </w:divBdr>
    </w:div>
    <w:div w:id="20159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bc.com/investorrelations/_assets-custom/pdf/Bail-in-Disclosur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bc.com/investorrelations/_assets-custom/pdf/Bail-in-Disclosur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11590</CharactersWithSpaces>
  <SharedDoc>false</SharedDoc>
  <HLinks>
    <vt:vector size="12" baseType="variant">
      <vt:variant>
        <vt:i4>4849716</vt:i4>
      </vt:variant>
      <vt:variant>
        <vt:i4>3</vt:i4>
      </vt:variant>
      <vt:variant>
        <vt:i4>0</vt:i4>
      </vt:variant>
      <vt:variant>
        <vt:i4>5</vt:i4>
      </vt:variant>
      <vt:variant>
        <vt:lpwstr>http://www.rbc.com/investorrelations/_assets-custom/pdf/Bail-in-Disclosure.pdf</vt:lpwstr>
      </vt:variant>
      <vt:variant>
        <vt:lpwstr/>
      </vt:variant>
      <vt:variant>
        <vt:i4>4849716</vt:i4>
      </vt:variant>
      <vt:variant>
        <vt:i4>0</vt:i4>
      </vt:variant>
      <vt:variant>
        <vt:i4>0</vt:i4>
      </vt:variant>
      <vt:variant>
        <vt:i4>5</vt:i4>
      </vt:variant>
      <vt:variant>
        <vt:lpwstr>http://www.rbc.com/investorrelations/_assets-custom/pdf/Bail-in-Disclosure.pdf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Formanek, Jeff</dc:creator>
  <cp:keywords/>
  <cp:lastModifiedBy>Zhang, Stella</cp:lastModifiedBy>
  <cp:revision>13</cp:revision>
  <cp:lastPrinted>2025-10-21T19:20:00Z</cp:lastPrinted>
  <dcterms:created xsi:type="dcterms:W3CDTF">2025-12-10T19:02:00Z</dcterms:created>
  <dcterms:modified xsi:type="dcterms:W3CDTF">2026-04-22T19:27:00Z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6dc96bb2-bcb1-4870-be14-0dd0b47ab14b</vt:lpwstr>
  </property>
  <property fmtid="{D5CDD505-2E9C-101B-9397-08002B2CF9AE}" pid="3" name="Classification">
    <vt:lpwstr>TT_RBC_Internal</vt:lpwstr>
  </property>
</Properties>
</file>