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03A10A85" w:rsidR="00481E9D" w:rsidRDefault="00DB3F33" w:rsidP="00481E9D">
      <w:pPr>
        <w:spacing w:before="100" w:beforeAutospacing="1"/>
        <w:rPr>
          <w:rFonts w:ascii="HelveticaNeueLT Std" w:hAnsi="HelveticaNeueLT Std" w:cs="Arial" w:hint="eastAsia"/>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D73E17">
        <w:rPr>
          <w:rFonts w:ascii="HelveticaNeueLT Std" w:hAnsi="HelveticaNeueLT Std" w:cs="Arial" w:hint="eastAsia"/>
          <w:b/>
          <w:color w:val="2E547D"/>
          <w:sz w:val="32"/>
          <w:szCs w:val="18"/>
          <w:lang w:eastAsia="zh-CN"/>
        </w:rPr>
        <w:t>1,100</w:t>
      </w:r>
      <w:r w:rsidR="00356884">
        <w:rPr>
          <w:rFonts w:ascii="HelveticaNeueLT Std" w:hAnsi="HelveticaNeueLT Std" w:cs="Arial"/>
          <w:b/>
          <w:color w:val="2E547D"/>
          <w:sz w:val="32"/>
          <w:szCs w:val="18"/>
        </w:rPr>
        <w:t xml:space="preserve">,000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DA22C8">
        <w:rPr>
          <w:rFonts w:ascii="HelveticaNeueLT Std" w:hAnsi="HelveticaNeueLT Std" w:cs="Arial" w:hint="eastAsia"/>
          <w:b/>
          <w:color w:val="2E547D"/>
          <w:sz w:val="32"/>
          <w:szCs w:val="18"/>
          <w:lang w:eastAsia="zh-CN"/>
        </w:rPr>
        <w:t>14</w:t>
      </w:r>
      <w:r w:rsidR="00AC1F0D">
        <w:rPr>
          <w:rFonts w:ascii="HelveticaNeueLT Std" w:hAnsi="HelveticaNeueLT Std" w:cs="Arial" w:hint="eastAsia"/>
          <w:b/>
          <w:color w:val="2E547D"/>
          <w:sz w:val="32"/>
          <w:szCs w:val="18"/>
          <w:lang w:eastAsia="zh-CN"/>
        </w:rPr>
        <w:t xml:space="preserve"> </w:t>
      </w:r>
      <w:r w:rsidR="00D73E17">
        <w:rPr>
          <w:rFonts w:ascii="HelveticaNeueLT Std" w:hAnsi="HelveticaNeueLT Std" w:cs="Arial" w:hint="eastAsia"/>
          <w:b/>
          <w:color w:val="2E547D"/>
          <w:sz w:val="32"/>
          <w:szCs w:val="18"/>
          <w:lang w:eastAsia="zh-CN"/>
        </w:rPr>
        <w:t>January</w:t>
      </w:r>
      <w:r w:rsidR="007E3588" w:rsidRPr="00516C66">
        <w:rPr>
          <w:rFonts w:ascii="HelveticaNeueLT Std" w:hAnsi="HelveticaNeueLT Std" w:cs="Arial"/>
          <w:b/>
          <w:color w:val="2E547D"/>
          <w:sz w:val="32"/>
          <w:szCs w:val="18"/>
        </w:rPr>
        <w:t xml:space="preserve">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D73E17">
        <w:rPr>
          <w:rFonts w:ascii="HelveticaNeueLT Std" w:hAnsi="HelveticaNeueLT Std" w:cs="Arial" w:hint="eastAsia"/>
          <w:b/>
          <w:color w:val="2E547D"/>
          <w:sz w:val="32"/>
          <w:szCs w:val="18"/>
          <w:lang w:eastAsia="zh-CN"/>
        </w:rPr>
        <w:t>1</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is provided for discussion and/or information purposes only and it does not constitute either an offer or the solicitation of an offer to enter into a </w:t>
      </w:r>
      <w:proofErr w:type="gramStart"/>
      <w:r w:rsidRPr="005B7B6E">
        <w:rPr>
          <w:rFonts w:ascii="HelveticaNeueLT Std" w:eastAsia="Times New Roman" w:hAnsi="HelveticaNeueLT Std" w:cs="Arial"/>
          <w:b/>
          <w:sz w:val="16"/>
          <w:szCs w:val="18"/>
          <w:lang w:val="en-US"/>
        </w:rPr>
        <w:t>securities</w:t>
      </w:r>
      <w:proofErr w:type="gramEnd"/>
      <w:r w:rsidRPr="005B7B6E">
        <w:rPr>
          <w:rFonts w:ascii="HelveticaNeueLT Std" w:eastAsia="Times New Roman" w:hAnsi="HelveticaNeueLT Std" w:cs="Arial"/>
          <w:b/>
          <w:sz w:val="16"/>
          <w:szCs w:val="18"/>
          <w:lang w:val="en-US"/>
        </w:rPr>
        <w:t xml:space="preserve"> or any other transaction. It is not intended to set forth a final expression of the terms and conditions of any transaction and it may be amended, superseded or replaced in its entirety by subsequent </w:t>
      </w:r>
      <w:proofErr w:type="spellStart"/>
      <w:r w:rsidRPr="005B7B6E">
        <w:rPr>
          <w:rFonts w:ascii="HelveticaNeueLT Std" w:eastAsia="Times New Roman" w:hAnsi="HelveticaNeueLT Std" w:cs="Arial"/>
          <w:b/>
          <w:sz w:val="16"/>
          <w:szCs w:val="18"/>
          <w:lang w:val="en-US"/>
        </w:rPr>
        <w:t>termsheets</w:t>
      </w:r>
      <w:proofErr w:type="spellEnd"/>
      <w:r w:rsidRPr="005B7B6E">
        <w:rPr>
          <w:rFonts w:ascii="HelveticaNeueLT Std" w:eastAsia="Times New Roman" w:hAnsi="HelveticaNeueLT Std" w:cs="Arial"/>
          <w:b/>
          <w:sz w:val="16"/>
          <w:szCs w:val="18"/>
          <w:lang w:val="en-US"/>
        </w:rPr>
        <w:t xml:space="preserve"> or other summaries of terms and conditions. 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does not purport to identify or suggest </w:t>
      </w:r>
      <w:proofErr w:type="gramStart"/>
      <w:r w:rsidRPr="005B7B6E">
        <w:rPr>
          <w:rFonts w:ascii="HelveticaNeueLT Std" w:eastAsia="Times New Roman" w:hAnsi="HelveticaNeueLT Std" w:cs="Arial"/>
          <w:b/>
          <w:sz w:val="16"/>
          <w:szCs w:val="18"/>
          <w:lang w:val="en-US"/>
        </w:rPr>
        <w:t>all of</w:t>
      </w:r>
      <w:proofErr w:type="gramEnd"/>
      <w:r w:rsidRPr="005B7B6E">
        <w:rPr>
          <w:rFonts w:ascii="HelveticaNeueLT Std" w:eastAsia="Times New Roman" w:hAnsi="HelveticaNeueLT Std" w:cs="Arial"/>
          <w:b/>
          <w:sz w:val="16"/>
          <w:szCs w:val="18"/>
          <w:lang w:val="en-US"/>
        </w:rPr>
        <w:t xml:space="preserve">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must be read in conjunction with the Prospectus (as supplemented or updated) for the Royal Bank of Canada </w:t>
      </w:r>
      <w:proofErr w:type="spellStart"/>
      <w:r w:rsidRPr="005B7B6E">
        <w:rPr>
          <w:rFonts w:ascii="HelveticaNeueLT Std" w:eastAsia="Times New Roman" w:hAnsi="HelveticaNeueLT Std" w:cs="Arial"/>
          <w:b/>
          <w:sz w:val="16"/>
          <w:szCs w:val="18"/>
          <w:lang w:val="en-US"/>
        </w:rPr>
        <w:t>Programme</w:t>
      </w:r>
      <w:proofErr w:type="spellEnd"/>
      <w:r w:rsidRPr="005B7B6E">
        <w:rPr>
          <w:rFonts w:ascii="HelveticaNeueLT Std" w:eastAsia="Times New Roman" w:hAnsi="HelveticaNeueLT Std" w:cs="Arial"/>
          <w:b/>
          <w:sz w:val="16"/>
          <w:szCs w:val="18"/>
          <w:lang w:val="en-US"/>
        </w:rPr>
        <w:t xml:space="preserv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No representation is made concerning the legal, tax, regulatory or accounting implications in the United Kingdom and we are not advising you in respect of such matters. </w:t>
      </w:r>
      <w:proofErr w:type="gramStart"/>
      <w:r w:rsidRPr="005B7B6E">
        <w:rPr>
          <w:rFonts w:ascii="HelveticaNeueLT Std" w:eastAsia="Times New Roman" w:hAnsi="HelveticaNeueLT Std" w:cs="Arial"/>
          <w:b/>
          <w:sz w:val="16"/>
          <w:szCs w:val="18"/>
          <w:lang w:val="en-US"/>
        </w:rPr>
        <w:t>Accordingly</w:t>
      </w:r>
      <w:proofErr w:type="gramEnd"/>
      <w:r w:rsidRPr="005B7B6E">
        <w:rPr>
          <w:rFonts w:ascii="HelveticaNeueLT Std" w:eastAsia="Times New Roman" w:hAnsi="HelveticaNeueLT Std" w:cs="Arial"/>
          <w:b/>
          <w:sz w:val="16"/>
          <w:szCs w:val="18"/>
          <w:lang w:val="en-US"/>
        </w:rPr>
        <w:t xml:space="preserve">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w:t>
            </w:r>
            <w:proofErr w:type="spellStart"/>
            <w:r w:rsidRPr="00C4736D">
              <w:rPr>
                <w:b/>
              </w:rPr>
              <w:t>inable</w:t>
            </w:r>
            <w:proofErr w:type="spellEnd"/>
            <w:r w:rsidRPr="00C4736D">
              <w:rPr>
                <w:b/>
              </w:rPr>
              <w:t xml:space="preserv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570194D9" w:rsidR="00404044" w:rsidRPr="000F6B0D"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t xml:space="preserve">USD </w:t>
            </w:r>
            <w:r w:rsidR="00D73E17">
              <w:rPr>
                <w:rFonts w:eastAsiaTheme="minorEastAsia" w:hint="eastAsia"/>
                <w:lang w:eastAsia="zh-CN"/>
              </w:rPr>
              <w:t>1,100</w:t>
            </w:r>
            <w:r w:rsidR="00404044">
              <w:t>,000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29FD8DE6" w:rsidR="00404044" w:rsidRPr="00352CD5" w:rsidRDefault="00D73E17"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D73E17">
              <w:rPr>
                <w:rFonts w:eastAsiaTheme="minorEastAsia"/>
                <w:lang w:eastAsia="zh-CN"/>
              </w:rPr>
              <w:t>XS3242432675</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597FC467" w:rsidR="00482D3F" w:rsidRPr="00D73E17" w:rsidRDefault="00A70A58" w:rsidP="00AA1786">
            <w:pPr>
              <w:pStyle w:val="TSTableBody"/>
              <w:cnfStyle w:val="000000100000" w:firstRow="0" w:lastRow="0" w:firstColumn="0" w:lastColumn="0" w:oddVBand="0" w:evenVBand="0" w:oddHBand="1" w:evenHBand="0" w:firstRowFirstColumn="0" w:firstRowLastColumn="0" w:lastRowFirstColumn="0" w:lastRowLastColumn="0"/>
              <w:rPr>
                <w:rFonts w:eastAsiaTheme="minorEastAsia" w:hint="eastAsia"/>
                <w:lang w:eastAsia="zh-CN"/>
              </w:rPr>
            </w:pPr>
            <w:r w:rsidRPr="00A70A58">
              <w:t>HSBC-RLNE-1</w:t>
            </w:r>
            <w:r w:rsidR="00D73E17">
              <w:rPr>
                <w:rFonts w:eastAsiaTheme="minorEastAsia" w:hint="eastAsia"/>
                <w:lang w:eastAsia="zh-CN"/>
              </w:rPr>
              <w:t>7</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6A1CD892" w:rsidR="00AA1786" w:rsidRDefault="00D73E17" w:rsidP="00AA1786">
            <w:pPr>
              <w:pStyle w:val="TSTableBody"/>
              <w:cnfStyle w:val="000000010000" w:firstRow="0" w:lastRow="0" w:firstColumn="0" w:lastColumn="0" w:oddVBand="0" w:evenVBand="0" w:oddHBand="0" w:evenHBand="1" w:firstRowFirstColumn="0" w:firstRowLastColumn="0" w:lastRowFirstColumn="0" w:lastRowLastColumn="0"/>
            </w:pPr>
            <w:r w:rsidRPr="00D73E17">
              <w:rPr>
                <w:rFonts w:eastAsiaTheme="minorEastAsia"/>
                <w:lang w:eastAsia="zh-CN"/>
              </w:rPr>
              <w:t>XS3242432675</w:t>
            </w:r>
            <w:r w:rsidR="00A70A58">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463B9009" w:rsidR="00015C54" w:rsidRDefault="00015C54" w:rsidP="00015C54">
            <w:pPr>
              <w:pStyle w:val="TSTableBody"/>
              <w:cnfStyle w:val="000000010000" w:firstRow="0" w:lastRow="0" w:firstColumn="0" w:lastColumn="0" w:oddVBand="0" w:evenVBand="0" w:oddHBand="0" w:evenHBand="1" w:firstRowFirstColumn="0" w:firstRowLastColumn="0" w:lastRowFirstColumn="0" w:lastRowLastColumn="0"/>
            </w:pPr>
            <w:r>
              <w:t>Up to</w:t>
            </w:r>
            <w:r w:rsidR="00B04401">
              <w:rPr>
                <w:rFonts w:eastAsiaTheme="minorEastAsia" w:hint="eastAsia"/>
                <w:lang w:eastAsia="zh-CN"/>
              </w:rPr>
              <w:t xml:space="preserve"> </w:t>
            </w:r>
            <w:r w:rsidR="00DA22C8">
              <w:rPr>
                <w:rFonts w:eastAsiaTheme="minorEastAsia" w:hint="eastAsia"/>
                <w:lang w:eastAsia="zh-CN"/>
              </w:rPr>
              <w:t>1.</w:t>
            </w:r>
            <w:r w:rsidR="00D73E17">
              <w:rPr>
                <w:rFonts w:eastAsiaTheme="minorEastAsia" w:hint="eastAsia"/>
                <w:lang w:eastAsia="zh-CN"/>
              </w:rPr>
              <w:t>00</w:t>
            </w:r>
            <w:r>
              <w:t xml:space="preserve">%. The Issuer may pay discounts and commissions of up to USD </w:t>
            </w:r>
            <w:r w:rsidR="00DA22C8">
              <w:rPr>
                <w:rFonts w:eastAsiaTheme="minorEastAsia" w:hint="eastAsia"/>
                <w:lang w:eastAsia="zh-CN"/>
              </w:rPr>
              <w:t>1</w:t>
            </w:r>
            <w:r w:rsidR="00D73E17">
              <w:rPr>
                <w:rFonts w:eastAsiaTheme="minorEastAsia" w:hint="eastAsia"/>
                <w:lang w:eastAsia="zh-CN"/>
              </w:rPr>
              <w:t>0.00</w:t>
            </w:r>
            <w:r>
              <w:t xml:space="preserve"> per USD 1,000 </w:t>
            </w:r>
            <w:r w:rsidR="00953CEA">
              <w:t xml:space="preserve">Calculation </w:t>
            </w:r>
            <w:proofErr w:type="gramStart"/>
            <w:r>
              <w:t>Amount</w:t>
            </w:r>
            <w:proofErr w:type="gramEnd"/>
            <w:r>
              <w:t xml:space="preserve">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33F124DE" w:rsidR="000F7FFA" w:rsidRDefault="005629EE" w:rsidP="00404044">
            <w:pPr>
              <w:pStyle w:val="TSTableBody"/>
              <w:cnfStyle w:val="000000100000" w:firstRow="0" w:lastRow="0" w:firstColumn="0" w:lastColumn="0" w:oddVBand="0" w:evenVBand="0" w:oddHBand="1" w:evenHBand="0" w:firstRowFirstColumn="0" w:firstRowLastColumn="0" w:lastRowFirstColumn="0" w:lastRowLastColumn="0"/>
            </w:pPr>
            <w:r>
              <w:t>4</w:t>
            </w:r>
            <w:r w:rsidR="000F7FFA">
              <w:t>.</w:t>
            </w:r>
            <w:r>
              <w:t>5</w:t>
            </w:r>
            <w:r w:rsidR="00DA22C8">
              <w:rPr>
                <w:rFonts w:eastAsiaTheme="minorEastAsia" w:hint="eastAsia"/>
                <w:lang w:eastAsia="zh-CN"/>
              </w:rPr>
              <w:t>5</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D73E17"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D73E17" w:rsidRDefault="00D73E17" w:rsidP="00D73E17">
            <w:pPr>
              <w:pStyle w:val="TSTableHeading"/>
            </w:pPr>
            <w:r>
              <w:rPr>
                <w:b/>
              </w:rPr>
              <w:t>Trade Date</w:t>
            </w:r>
          </w:p>
        </w:tc>
        <w:tc>
          <w:tcPr>
            <w:tcW w:w="7099" w:type="dxa"/>
          </w:tcPr>
          <w:p w14:paraId="33D0F364" w14:textId="677128C5" w:rsidR="00D73E17" w:rsidRPr="002D6B19" w:rsidRDefault="00D73E17" w:rsidP="00D73E17">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Pr>
                <w:rFonts w:eastAsiaTheme="minorEastAsia" w:hint="eastAsia"/>
                <w:lang w:eastAsia="zh-CN"/>
              </w:rPr>
              <w:t>07</w:t>
            </w:r>
            <w:r>
              <w:t xml:space="preserve"> </w:t>
            </w:r>
            <w:r>
              <w:rPr>
                <w:rFonts w:eastAsiaTheme="minorEastAsia" w:hint="eastAsia"/>
                <w:lang w:eastAsia="zh-CN"/>
              </w:rPr>
              <w:t>January</w:t>
            </w:r>
            <w:r>
              <w:t xml:space="preserve"> 202</w:t>
            </w:r>
            <w:r>
              <w:rPr>
                <w:rFonts w:eastAsiaTheme="minorEastAsia" w:hint="eastAsia"/>
                <w:lang w:eastAsia="zh-CN"/>
              </w:rPr>
              <w:t>6</w:t>
            </w:r>
          </w:p>
        </w:tc>
      </w:tr>
      <w:tr w:rsidR="00D73E17"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D73E17" w:rsidRDefault="00D73E17" w:rsidP="00D73E17">
            <w:pPr>
              <w:pStyle w:val="TSTableHeading"/>
            </w:pPr>
            <w:r>
              <w:rPr>
                <w:b/>
              </w:rPr>
              <w:t>Issue Date</w:t>
            </w:r>
          </w:p>
        </w:tc>
        <w:tc>
          <w:tcPr>
            <w:tcW w:w="7099" w:type="dxa"/>
          </w:tcPr>
          <w:p w14:paraId="6CD3055F" w14:textId="601D79E1" w:rsidR="00D73E17" w:rsidRPr="002D6B19" w:rsidRDefault="00D73E17" w:rsidP="00D73E17">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Pr>
                <w:rFonts w:eastAsiaTheme="minorEastAsia" w:hint="eastAsia"/>
                <w:lang w:eastAsia="zh-CN"/>
              </w:rPr>
              <w:t>14</w:t>
            </w:r>
            <w:r>
              <w:t xml:space="preserve"> </w:t>
            </w:r>
            <w:r>
              <w:rPr>
                <w:rFonts w:eastAsiaTheme="minorEastAsia" w:hint="eastAsia"/>
                <w:lang w:eastAsia="zh-CN"/>
              </w:rPr>
              <w:t>January</w:t>
            </w:r>
            <w:r>
              <w:t xml:space="preserve"> 202</w:t>
            </w:r>
            <w:r>
              <w:rPr>
                <w:rFonts w:eastAsiaTheme="minorEastAsia" w:hint="eastAsia"/>
                <w:lang w:eastAsia="zh-CN"/>
              </w:rPr>
              <w:t>6</w:t>
            </w:r>
          </w:p>
        </w:tc>
      </w:tr>
      <w:tr w:rsidR="00D73E17"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D73E17" w:rsidRDefault="00D73E17" w:rsidP="00D73E17">
            <w:pPr>
              <w:pStyle w:val="TSTableHeading"/>
            </w:pPr>
            <w:r>
              <w:rPr>
                <w:b/>
              </w:rPr>
              <w:t>Maturity Date</w:t>
            </w:r>
          </w:p>
        </w:tc>
        <w:tc>
          <w:tcPr>
            <w:tcW w:w="7099" w:type="dxa"/>
          </w:tcPr>
          <w:p w14:paraId="074774C7" w14:textId="685F8728" w:rsidR="00D73E17" w:rsidRDefault="00D73E17" w:rsidP="00D73E17">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14</w:t>
            </w:r>
            <w:r>
              <w:t xml:space="preserve"> </w:t>
            </w:r>
            <w:r>
              <w:rPr>
                <w:rFonts w:eastAsiaTheme="minorEastAsia" w:hint="eastAsia"/>
                <w:lang w:eastAsia="zh-CN"/>
              </w:rPr>
              <w:t>January</w:t>
            </w:r>
            <w:r>
              <w:t xml:space="preserve"> 20</w:t>
            </w:r>
            <w:r>
              <w:rPr>
                <w:rFonts w:eastAsiaTheme="minorEastAsia" w:hint="eastAsia"/>
                <w:lang w:eastAsia="zh-CN"/>
              </w:rPr>
              <w:t>31</w:t>
            </w:r>
            <w:r>
              <w:t xml:space="preserve">, </w:t>
            </w:r>
            <w:r w:rsidRPr="0043537E">
              <w:rPr>
                <w:bCs/>
              </w:rPr>
              <w:t xml:space="preserve">subject to </w:t>
            </w:r>
            <w:r>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D73E17" w14:paraId="25DD5145" w14:textId="77777777" w:rsidTr="001127D2">
              <w:tc>
                <w:tcPr>
                  <w:tcW w:w="3425" w:type="dxa"/>
                </w:tcPr>
                <w:p w14:paraId="31E66BD1" w14:textId="500B1E29" w:rsidR="00D73E17" w:rsidRPr="002D6B19" w:rsidRDefault="00D73E17" w:rsidP="00D73E17">
                  <w:pPr>
                    <w:pStyle w:val="TSTableBody"/>
                    <w:rPr>
                      <w:rFonts w:eastAsiaTheme="minorEastAsia"/>
                      <w:lang w:eastAsia="zh-CN"/>
                    </w:rPr>
                  </w:pPr>
                  <w:r>
                    <w:rPr>
                      <w:rFonts w:eastAsiaTheme="minorEastAsia" w:hint="eastAsia"/>
                      <w:lang w:eastAsia="zh-CN"/>
                    </w:rPr>
                    <w:t>14</w:t>
                  </w:r>
                  <w:r>
                    <w:t>/</w:t>
                  </w:r>
                  <w:r>
                    <w:rPr>
                      <w:rFonts w:eastAsiaTheme="minorEastAsia" w:hint="eastAsia"/>
                      <w:lang w:eastAsia="zh-CN"/>
                    </w:rPr>
                    <w:t>01</w:t>
                  </w:r>
                  <w:r>
                    <w:t>/202</w:t>
                  </w:r>
                  <w:r>
                    <w:rPr>
                      <w:rFonts w:eastAsiaTheme="minorEastAsia" w:hint="eastAsia"/>
                      <w:lang w:eastAsia="zh-CN"/>
                    </w:rPr>
                    <w:t>7</w:t>
                  </w:r>
                </w:p>
              </w:tc>
              <w:tc>
                <w:tcPr>
                  <w:tcW w:w="3426" w:type="dxa"/>
                </w:tcPr>
                <w:p w14:paraId="6FC2F927" w14:textId="33AC4612" w:rsidR="00D73E17" w:rsidRDefault="00D73E17" w:rsidP="00D73E17">
                  <w:pPr>
                    <w:pStyle w:val="TSTableBody"/>
                  </w:pPr>
                  <w:r>
                    <w:t>Calculation Amount x 104.5</w:t>
                  </w:r>
                  <w:r>
                    <w:rPr>
                      <w:rFonts w:eastAsiaTheme="minorEastAsia" w:hint="eastAsia"/>
                      <w:lang w:eastAsia="zh-CN"/>
                    </w:rPr>
                    <w:t>5</w:t>
                  </w:r>
                  <w:r>
                    <w:t>0%</w:t>
                  </w:r>
                </w:p>
              </w:tc>
            </w:tr>
            <w:tr w:rsidR="00D73E17" w14:paraId="4B05AAE4" w14:textId="77777777" w:rsidTr="001127D2">
              <w:tc>
                <w:tcPr>
                  <w:tcW w:w="3425" w:type="dxa"/>
                </w:tcPr>
                <w:p w14:paraId="36838089" w14:textId="3B1565ED" w:rsidR="00D73E17" w:rsidRPr="002D6B19" w:rsidRDefault="00D73E17" w:rsidP="00D73E17">
                  <w:pPr>
                    <w:pStyle w:val="TSTableBody"/>
                    <w:rPr>
                      <w:rFonts w:eastAsiaTheme="minorEastAsia"/>
                      <w:lang w:eastAsia="zh-CN"/>
                    </w:rPr>
                  </w:pPr>
                  <w:r>
                    <w:t>1</w:t>
                  </w:r>
                  <w:r>
                    <w:rPr>
                      <w:rFonts w:eastAsiaTheme="minorEastAsia" w:hint="eastAsia"/>
                      <w:lang w:eastAsia="zh-CN"/>
                    </w:rPr>
                    <w:t>4</w:t>
                  </w:r>
                  <w:r>
                    <w:t>/</w:t>
                  </w:r>
                  <w:r>
                    <w:rPr>
                      <w:rFonts w:eastAsiaTheme="minorEastAsia" w:hint="eastAsia"/>
                      <w:lang w:eastAsia="zh-CN"/>
                    </w:rPr>
                    <w:t>07</w:t>
                  </w:r>
                  <w:r>
                    <w:t>/2027</w:t>
                  </w:r>
                </w:p>
              </w:tc>
              <w:tc>
                <w:tcPr>
                  <w:tcW w:w="3426" w:type="dxa"/>
                </w:tcPr>
                <w:p w14:paraId="6DE6D1A5" w14:textId="3501D272" w:rsidR="00D73E17" w:rsidRDefault="00D73E17" w:rsidP="00D73E17">
                  <w:pPr>
                    <w:pStyle w:val="TSTableBody"/>
                  </w:pPr>
                  <w:r>
                    <w:t>Calculation Amount x 106.</w:t>
                  </w:r>
                  <w:r>
                    <w:rPr>
                      <w:rFonts w:eastAsiaTheme="minorEastAsia" w:hint="eastAsia"/>
                      <w:lang w:eastAsia="zh-CN"/>
                    </w:rPr>
                    <w:t>825</w:t>
                  </w:r>
                  <w:r>
                    <w:t>%</w:t>
                  </w:r>
                </w:p>
              </w:tc>
            </w:tr>
            <w:tr w:rsidR="00D73E17" w14:paraId="2F95F751" w14:textId="77777777" w:rsidTr="001127D2">
              <w:tc>
                <w:tcPr>
                  <w:tcW w:w="3425" w:type="dxa"/>
                </w:tcPr>
                <w:p w14:paraId="02316C46" w14:textId="090B19C2" w:rsidR="00D73E17" w:rsidRPr="002D6B19" w:rsidRDefault="00D73E17" w:rsidP="00D73E17">
                  <w:pPr>
                    <w:pStyle w:val="TSTableBody"/>
                    <w:rPr>
                      <w:rFonts w:eastAsiaTheme="minorEastAsia"/>
                      <w:lang w:eastAsia="zh-CN"/>
                    </w:rPr>
                  </w:pPr>
                  <w:r>
                    <w:rPr>
                      <w:rFonts w:eastAsiaTheme="minorEastAsia" w:hint="eastAsia"/>
                      <w:lang w:eastAsia="zh-CN"/>
                    </w:rPr>
                    <w:t>14</w:t>
                  </w:r>
                  <w:r>
                    <w:t>/</w:t>
                  </w:r>
                  <w:r>
                    <w:rPr>
                      <w:rFonts w:eastAsiaTheme="minorEastAsia" w:hint="eastAsia"/>
                      <w:lang w:eastAsia="zh-CN"/>
                    </w:rPr>
                    <w:t>01</w:t>
                  </w:r>
                  <w:r>
                    <w:t>/202</w:t>
                  </w:r>
                  <w:r>
                    <w:rPr>
                      <w:rFonts w:eastAsiaTheme="minorEastAsia" w:hint="eastAsia"/>
                      <w:lang w:eastAsia="zh-CN"/>
                    </w:rPr>
                    <w:t>8</w:t>
                  </w:r>
                </w:p>
              </w:tc>
              <w:tc>
                <w:tcPr>
                  <w:tcW w:w="3426" w:type="dxa"/>
                </w:tcPr>
                <w:p w14:paraId="3D137C57" w14:textId="1DBF2036" w:rsidR="00D73E17" w:rsidRDefault="00D73E17" w:rsidP="00D73E17">
                  <w:pPr>
                    <w:pStyle w:val="TSTableBody"/>
                  </w:pPr>
                  <w:r>
                    <w:t>Calculation Amount x 109.</w:t>
                  </w:r>
                  <w:r>
                    <w:rPr>
                      <w:rFonts w:eastAsiaTheme="minorEastAsia" w:hint="eastAsia"/>
                      <w:lang w:eastAsia="zh-CN"/>
                    </w:rPr>
                    <w:t>100</w:t>
                  </w:r>
                  <w:r>
                    <w:t>%</w:t>
                  </w:r>
                </w:p>
              </w:tc>
            </w:tr>
            <w:tr w:rsidR="00D73E17" w14:paraId="7855AD90" w14:textId="77777777" w:rsidTr="001127D2">
              <w:tc>
                <w:tcPr>
                  <w:tcW w:w="3425" w:type="dxa"/>
                </w:tcPr>
                <w:p w14:paraId="13088FBB" w14:textId="62724FB6" w:rsidR="00D73E17" w:rsidRPr="00DA22C8" w:rsidRDefault="00D73E17" w:rsidP="00D73E17">
                  <w:pPr>
                    <w:pStyle w:val="TSTableBody"/>
                    <w:rPr>
                      <w:rFonts w:eastAsiaTheme="minorEastAsia"/>
                      <w:lang w:eastAsia="zh-CN"/>
                    </w:rPr>
                  </w:pPr>
                  <w:r>
                    <w:t>1</w:t>
                  </w:r>
                  <w:r>
                    <w:rPr>
                      <w:rFonts w:eastAsiaTheme="minorEastAsia" w:hint="eastAsia"/>
                      <w:lang w:eastAsia="zh-CN"/>
                    </w:rPr>
                    <w:t>4</w:t>
                  </w:r>
                  <w:r>
                    <w:t>/</w:t>
                  </w:r>
                  <w:r>
                    <w:rPr>
                      <w:rFonts w:eastAsiaTheme="minorEastAsia" w:hint="eastAsia"/>
                      <w:lang w:eastAsia="zh-CN"/>
                    </w:rPr>
                    <w:t>07</w:t>
                  </w:r>
                  <w:r>
                    <w:t>/202</w:t>
                  </w:r>
                  <w:r>
                    <w:rPr>
                      <w:rFonts w:eastAsiaTheme="minorEastAsia" w:hint="eastAsia"/>
                      <w:lang w:eastAsia="zh-CN"/>
                    </w:rPr>
                    <w:t>8</w:t>
                  </w:r>
                </w:p>
              </w:tc>
              <w:tc>
                <w:tcPr>
                  <w:tcW w:w="3426" w:type="dxa"/>
                </w:tcPr>
                <w:p w14:paraId="4A7EAA3C" w14:textId="0EE4CD82" w:rsidR="00D73E17" w:rsidRDefault="00D73E17" w:rsidP="00D73E17">
                  <w:pPr>
                    <w:pStyle w:val="TSTableBody"/>
                  </w:pPr>
                  <w:r w:rsidRPr="00AA0025">
                    <w:t>Calculation Amount x 11</w:t>
                  </w:r>
                  <w:r>
                    <w:t>1.</w:t>
                  </w:r>
                  <w:r>
                    <w:rPr>
                      <w:rFonts w:eastAsiaTheme="minorEastAsia" w:hint="eastAsia"/>
                      <w:lang w:eastAsia="zh-CN"/>
                    </w:rPr>
                    <w:t>375</w:t>
                  </w:r>
                  <w:r w:rsidRPr="00AA0025">
                    <w:t>%</w:t>
                  </w:r>
                </w:p>
              </w:tc>
            </w:tr>
            <w:tr w:rsidR="00D73E17" w14:paraId="4284E9B8" w14:textId="77777777" w:rsidTr="001127D2">
              <w:tc>
                <w:tcPr>
                  <w:tcW w:w="3425" w:type="dxa"/>
                </w:tcPr>
                <w:p w14:paraId="09F0717D" w14:textId="4AE44A7F" w:rsidR="00D73E17" w:rsidRPr="00DA22C8" w:rsidRDefault="00D73E17" w:rsidP="00D73E17">
                  <w:pPr>
                    <w:pStyle w:val="TSTableBody"/>
                    <w:rPr>
                      <w:rFonts w:eastAsiaTheme="minorEastAsia"/>
                      <w:lang w:eastAsia="zh-CN"/>
                    </w:rPr>
                  </w:pPr>
                  <w:r>
                    <w:rPr>
                      <w:rFonts w:eastAsiaTheme="minorEastAsia" w:hint="eastAsia"/>
                      <w:lang w:eastAsia="zh-CN"/>
                    </w:rPr>
                    <w:t>14</w:t>
                  </w:r>
                  <w:r>
                    <w:t>/</w:t>
                  </w:r>
                  <w:r>
                    <w:rPr>
                      <w:rFonts w:eastAsiaTheme="minorEastAsia" w:hint="eastAsia"/>
                      <w:lang w:eastAsia="zh-CN"/>
                    </w:rPr>
                    <w:t>01</w:t>
                  </w:r>
                  <w:r>
                    <w:t>/202</w:t>
                  </w:r>
                  <w:r>
                    <w:rPr>
                      <w:rFonts w:eastAsiaTheme="minorEastAsia" w:hint="eastAsia"/>
                      <w:lang w:eastAsia="zh-CN"/>
                    </w:rPr>
                    <w:t>9</w:t>
                  </w:r>
                </w:p>
              </w:tc>
              <w:tc>
                <w:tcPr>
                  <w:tcW w:w="3426" w:type="dxa"/>
                </w:tcPr>
                <w:p w14:paraId="683E8BC5" w14:textId="3ED3A214" w:rsidR="00D73E17" w:rsidRDefault="00D73E17" w:rsidP="00D73E17">
                  <w:pPr>
                    <w:pStyle w:val="TSTableBody"/>
                  </w:pPr>
                  <w:r w:rsidRPr="00AA0025">
                    <w:t>Calculation Amount x 1</w:t>
                  </w:r>
                  <w:r>
                    <w:t>13.</w:t>
                  </w:r>
                  <w:r>
                    <w:rPr>
                      <w:rFonts w:eastAsiaTheme="minorEastAsia" w:hint="eastAsia"/>
                      <w:lang w:eastAsia="zh-CN"/>
                    </w:rPr>
                    <w:t>650</w:t>
                  </w:r>
                  <w:r w:rsidRPr="00AA0025">
                    <w:t>%</w:t>
                  </w:r>
                </w:p>
              </w:tc>
            </w:tr>
            <w:tr w:rsidR="00D73E17" w14:paraId="4EBEDA9F" w14:textId="77777777" w:rsidTr="001127D2">
              <w:tc>
                <w:tcPr>
                  <w:tcW w:w="3425" w:type="dxa"/>
                </w:tcPr>
                <w:p w14:paraId="12422241" w14:textId="3B961B6E" w:rsidR="00D73E17" w:rsidRPr="00DA22C8" w:rsidRDefault="00D73E17" w:rsidP="00D73E17">
                  <w:pPr>
                    <w:pStyle w:val="TSTableBody"/>
                    <w:rPr>
                      <w:rFonts w:eastAsiaTheme="minorEastAsia"/>
                      <w:lang w:eastAsia="zh-CN"/>
                    </w:rPr>
                  </w:pPr>
                  <w:r>
                    <w:t>1</w:t>
                  </w:r>
                  <w:r>
                    <w:rPr>
                      <w:rFonts w:eastAsiaTheme="minorEastAsia" w:hint="eastAsia"/>
                      <w:lang w:eastAsia="zh-CN"/>
                    </w:rPr>
                    <w:t>4</w:t>
                  </w:r>
                  <w:r>
                    <w:t>/</w:t>
                  </w:r>
                  <w:r>
                    <w:rPr>
                      <w:rFonts w:eastAsiaTheme="minorEastAsia" w:hint="eastAsia"/>
                      <w:lang w:eastAsia="zh-CN"/>
                    </w:rPr>
                    <w:t>07</w:t>
                  </w:r>
                  <w:r>
                    <w:t>/202</w:t>
                  </w:r>
                  <w:r>
                    <w:rPr>
                      <w:rFonts w:eastAsiaTheme="minorEastAsia" w:hint="eastAsia"/>
                      <w:lang w:eastAsia="zh-CN"/>
                    </w:rPr>
                    <w:t>9</w:t>
                  </w:r>
                </w:p>
              </w:tc>
              <w:tc>
                <w:tcPr>
                  <w:tcW w:w="3426" w:type="dxa"/>
                </w:tcPr>
                <w:p w14:paraId="0E28CFF6" w14:textId="0C2DC153" w:rsidR="00D73E17" w:rsidRDefault="00D73E17" w:rsidP="00D73E17">
                  <w:pPr>
                    <w:pStyle w:val="TSTableBody"/>
                  </w:pPr>
                  <w:r w:rsidRPr="00AA0025">
                    <w:t>Calculation Amount x 11</w:t>
                  </w:r>
                  <w:r>
                    <w:t>5.</w:t>
                  </w:r>
                  <w:r>
                    <w:rPr>
                      <w:rFonts w:eastAsiaTheme="minorEastAsia" w:hint="eastAsia"/>
                      <w:lang w:eastAsia="zh-CN"/>
                    </w:rPr>
                    <w:t>925</w:t>
                  </w:r>
                  <w:r w:rsidRPr="00AA0025">
                    <w:t>%</w:t>
                  </w:r>
                </w:p>
              </w:tc>
            </w:tr>
            <w:tr w:rsidR="00D73E17" w14:paraId="5E8F0C75" w14:textId="77777777" w:rsidTr="001127D2">
              <w:tc>
                <w:tcPr>
                  <w:tcW w:w="3425" w:type="dxa"/>
                </w:tcPr>
                <w:p w14:paraId="0AD5DFD4" w14:textId="0612E475" w:rsidR="00D73E17" w:rsidRPr="00DA22C8" w:rsidRDefault="00D73E17" w:rsidP="00D73E17">
                  <w:pPr>
                    <w:pStyle w:val="TSTableBody"/>
                    <w:rPr>
                      <w:rFonts w:eastAsiaTheme="minorEastAsia"/>
                      <w:lang w:eastAsia="zh-CN"/>
                    </w:rPr>
                  </w:pPr>
                  <w:r>
                    <w:rPr>
                      <w:rFonts w:eastAsiaTheme="minorEastAsia" w:hint="eastAsia"/>
                      <w:lang w:eastAsia="zh-CN"/>
                    </w:rPr>
                    <w:t>14</w:t>
                  </w:r>
                  <w:r>
                    <w:t>/</w:t>
                  </w:r>
                  <w:r>
                    <w:rPr>
                      <w:rFonts w:eastAsiaTheme="minorEastAsia" w:hint="eastAsia"/>
                      <w:lang w:eastAsia="zh-CN"/>
                    </w:rPr>
                    <w:t>01</w:t>
                  </w:r>
                  <w:r>
                    <w:t>/20</w:t>
                  </w:r>
                  <w:r>
                    <w:rPr>
                      <w:rFonts w:eastAsiaTheme="minorEastAsia" w:hint="eastAsia"/>
                      <w:lang w:eastAsia="zh-CN"/>
                    </w:rPr>
                    <w:t>30</w:t>
                  </w:r>
                </w:p>
              </w:tc>
              <w:tc>
                <w:tcPr>
                  <w:tcW w:w="3426" w:type="dxa"/>
                </w:tcPr>
                <w:p w14:paraId="49F8883B" w14:textId="42CE7C3D" w:rsidR="00D73E17" w:rsidRDefault="00D73E17" w:rsidP="00D73E17">
                  <w:pPr>
                    <w:pStyle w:val="TSTableBody"/>
                  </w:pPr>
                  <w:r w:rsidRPr="00AA0025">
                    <w:t>Calculation Amount x 1</w:t>
                  </w:r>
                  <w:r>
                    <w:t>18.</w:t>
                  </w:r>
                  <w:r>
                    <w:rPr>
                      <w:rFonts w:eastAsiaTheme="minorEastAsia" w:hint="eastAsia"/>
                      <w:lang w:eastAsia="zh-CN"/>
                    </w:rPr>
                    <w:t>200</w:t>
                  </w:r>
                  <w:r w:rsidRPr="00AA0025">
                    <w:t>%</w:t>
                  </w:r>
                </w:p>
              </w:tc>
            </w:tr>
            <w:tr w:rsidR="00D73E17" w14:paraId="32DFDA8D" w14:textId="77777777" w:rsidTr="001127D2">
              <w:tc>
                <w:tcPr>
                  <w:tcW w:w="3425" w:type="dxa"/>
                </w:tcPr>
                <w:p w14:paraId="273DA383" w14:textId="1ED9BA24" w:rsidR="00D73E17" w:rsidRPr="002D6B19" w:rsidRDefault="00D73E17" w:rsidP="00D73E17">
                  <w:pPr>
                    <w:pStyle w:val="TSTableBody"/>
                    <w:rPr>
                      <w:rFonts w:eastAsiaTheme="minorEastAsia"/>
                      <w:lang w:eastAsia="zh-CN"/>
                    </w:rPr>
                  </w:pPr>
                  <w:r>
                    <w:t>1</w:t>
                  </w:r>
                  <w:r>
                    <w:rPr>
                      <w:rFonts w:eastAsiaTheme="minorEastAsia" w:hint="eastAsia"/>
                      <w:lang w:eastAsia="zh-CN"/>
                    </w:rPr>
                    <w:t>4</w:t>
                  </w:r>
                  <w:r>
                    <w:t>/</w:t>
                  </w:r>
                  <w:r>
                    <w:rPr>
                      <w:rFonts w:eastAsiaTheme="minorEastAsia" w:hint="eastAsia"/>
                      <w:lang w:eastAsia="zh-CN"/>
                    </w:rPr>
                    <w:t>07</w:t>
                  </w:r>
                  <w:r>
                    <w:t>/20</w:t>
                  </w:r>
                  <w:r>
                    <w:rPr>
                      <w:rFonts w:eastAsiaTheme="minorEastAsia" w:hint="eastAsia"/>
                      <w:lang w:eastAsia="zh-CN"/>
                    </w:rPr>
                    <w:t>30</w:t>
                  </w:r>
                </w:p>
              </w:tc>
              <w:tc>
                <w:tcPr>
                  <w:tcW w:w="3426" w:type="dxa"/>
                </w:tcPr>
                <w:p w14:paraId="02B69E34" w14:textId="5F9AC376" w:rsidR="00D73E17" w:rsidRDefault="00D73E17" w:rsidP="00D73E17">
                  <w:pPr>
                    <w:pStyle w:val="TSTableBody"/>
                  </w:pPr>
                  <w:r w:rsidRPr="00AA0025">
                    <w:t>Calculation Amount x 1</w:t>
                  </w:r>
                  <w:r>
                    <w:t>20.</w:t>
                  </w:r>
                  <w:r>
                    <w:rPr>
                      <w:rFonts w:eastAsiaTheme="minorEastAsia" w:hint="eastAsia"/>
                      <w:lang w:eastAsia="zh-CN"/>
                    </w:rPr>
                    <w:t>475</w:t>
                  </w:r>
                  <w:r w:rsidRPr="00AA0025">
                    <w:t>%</w:t>
                  </w:r>
                </w:p>
              </w:tc>
            </w:tr>
          </w:tbl>
          <w:p w14:paraId="3F0A32A7" w14:textId="2209DD00"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2639BCD2"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122.</w:t>
            </w:r>
            <w:r w:rsidR="00DA22C8">
              <w:rPr>
                <w:rFonts w:eastAsiaTheme="minorEastAsia" w:hint="eastAsia"/>
                <w:lang w:val="en-GB" w:eastAsia="zh-CN"/>
              </w:rPr>
              <w:t>750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Euroclear or </w:t>
            </w:r>
            <w:proofErr w:type="spellStart"/>
            <w:r>
              <w:t>Clearstream</w:t>
            </w:r>
            <w:proofErr w:type="spellEnd"/>
            <w:r>
              <w:t xml:space="preserve">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Under the existing </w:t>
            </w:r>
            <w:proofErr w:type="spellStart"/>
            <w:r>
              <w:t>Programme</w:t>
            </w:r>
            <w:proofErr w:type="spellEnd"/>
            <w:r>
              <w:t xml:space="preserv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lastRenderedPageBreak/>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w:t>
            </w:r>
            <w:proofErr w:type="gramStart"/>
            <w:r>
              <w:t>taken into account</w:t>
            </w:r>
            <w:proofErr w:type="gramEnd"/>
            <w:r>
              <w:t xml:space="preserve">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investor should be prepared to hold this Security until maturity should it not be called or terminated early, if such option exists, by the Issuer. The Dealer will, however, use its reasonable </w:t>
            </w:r>
            <w:proofErr w:type="spellStart"/>
            <w:r>
              <w:t>endeavours</w:t>
            </w:r>
            <w:proofErr w:type="spellEnd"/>
            <w:r>
              <w:t xml:space="preserve"> to provide liquidity to the Security (either directly or 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provided for information purposes only and should not be used as the sole or primary basis of any investment decision. Transactions of a type described herein, may involve a high degree of risk and may not be suitable for all investors. Transactions in the Securities should not be undertaken unless the prospective investor understands and is capable of bearing </w:t>
            </w:r>
            <w:proofErr w:type="gramStart"/>
            <w:r>
              <w:t>all of</w:t>
            </w:r>
            <w:proofErr w:type="gramEnd"/>
            <w:r>
              <w:t xml:space="preserve"> the risks associated with an investment in the Securities. Before </w:t>
            </w:r>
            <w:proofErr w:type="gramStart"/>
            <w:r>
              <w:t>entering into</w:t>
            </w:r>
            <w:proofErr w:type="gramEnd"/>
            <w:r>
              <w:t xml:space="preserve"> any transaction, potential investors should take </w:t>
            </w:r>
            <w:r>
              <w:lastRenderedPageBreak/>
              <w:t xml:space="preserve">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w:t>
            </w:r>
            <w:proofErr w:type="spellStart"/>
            <w:r>
              <w:t>termsheet</w:t>
            </w:r>
            <w:proofErr w:type="spellEnd"/>
            <w:r>
              <w:t xml:space="preserve">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Institutions referencing this </w:t>
            </w:r>
            <w:proofErr w:type="spellStart"/>
            <w:r>
              <w:t>termsheet</w:t>
            </w:r>
            <w:proofErr w:type="spellEnd"/>
            <w:r>
              <w:t xml:space="preserve"> or extracting information from this </w:t>
            </w:r>
            <w:proofErr w:type="spellStart"/>
            <w:r>
              <w:t>termsheet</w:t>
            </w:r>
            <w:proofErr w:type="spellEnd"/>
            <w:r>
              <w:t xml:space="preserve">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lastRenderedPageBreak/>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w:t>
            </w:r>
            <w:proofErr w:type="gramStart"/>
            <w:r>
              <w:t>enter into</w:t>
            </w:r>
            <w:proofErr w:type="gramEnd"/>
            <w:r>
              <w:t xml:space="preserve">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w:t>
            </w:r>
            <w:proofErr w:type="gramStart"/>
            <w:r w:rsidRPr="00E04A5A">
              <w:t>environment, and</w:t>
            </w:r>
            <w:proofErr w:type="gramEnd"/>
            <w:r w:rsidRPr="00E04A5A">
              <w:t xml:space="preserve">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It is strongly recommended that investors seek independent tax advice prior to an investment in the Securities. The Issuer, Dealer and members of the Bank Group do not provide tax advice. To the extent that any general information is provided with regard to tax, this is for information purposes only and should neither be construed as tax advice nor should it be relied </w:t>
            </w:r>
            <w:proofErr w:type="gramStart"/>
            <w:r>
              <w:t>on, or</w:t>
            </w:r>
            <w:proofErr w:type="gramEnd"/>
            <w:r>
              <w:t xml:space="preserve">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 xml:space="preserve">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by </w:t>
            </w:r>
            <w:proofErr w:type="gramStart"/>
            <w:r>
              <w:t>a number of</w:t>
            </w:r>
            <w:proofErr w:type="gramEnd"/>
            <w:r>
              <w:t xml:space="preserve"> factors including but not limited to the maturity of the Security, hedging costs and legal fees. Any fee or commission received by the </w:t>
            </w:r>
            <w:proofErr w:type="gramStart"/>
            <w:r>
              <w:t>distributor</w:t>
            </w:r>
            <w:proofErr w:type="gramEnd"/>
            <w:r>
              <w:t xml:space="preserve">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t>termsheet</w:t>
            </w:r>
            <w:proofErr w:type="spellEnd"/>
            <w:r>
              <w:t xml:space="preserve"> is authorized by any person to act in a way which would result in an offer to it </w:t>
            </w:r>
            <w:proofErr w:type="gramStart"/>
            <w:r>
              <w:t>being considered to be</w:t>
            </w:r>
            <w:proofErr w:type="gramEnd"/>
            <w:r>
              <w:t xml:space="preserv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w:t>
            </w:r>
            <w:proofErr w:type="spellStart"/>
            <w:r>
              <w:t>i</w:t>
            </w:r>
            <w:proofErr w:type="spellEnd"/>
            <w:r>
              <w:t>)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w:t>
            </w:r>
            <w:proofErr w:type="spellStart"/>
            <w:r>
              <w:t>i</w:t>
            </w:r>
            <w:proofErr w:type="spellEnd"/>
            <w:r>
              <w:t>)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Dealer has represented, warranted and agreed, and each further Dealer appointed under the </w:t>
            </w:r>
            <w:proofErr w:type="spellStart"/>
            <w:r>
              <w:t>Programme</w:t>
            </w:r>
            <w:proofErr w:type="spellEnd"/>
            <w:r>
              <w:t xml:space="preserv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(a)</w:t>
            </w:r>
            <w:r>
              <w:tab/>
              <w:t xml:space="preserve">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w:t>
            </w:r>
            <w:r>
              <w:lastRenderedPageBreak/>
              <w:t>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lastRenderedPageBreak/>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offeror acknowledges and agrees that, subject to the applicable transitional provisions under the </w:t>
            </w:r>
            <w:proofErr w:type="spellStart"/>
            <w:r>
              <w:t>FinSA</w:t>
            </w:r>
            <w:proofErr w:type="spellEnd"/>
            <w:r>
              <w:t xml:space="preserve"> and the implementing </w:t>
            </w:r>
            <w:proofErr w:type="spellStart"/>
            <w:r>
              <w:t>FinSO</w:t>
            </w:r>
            <w:proofErr w:type="spellEnd"/>
            <w:r>
              <w:t xml:space="preserve">, the Notes have not been offered and will not be offered, directly or indirectly, to the public in Switzerland, and have not distributed or caused to be distributed and will not distribute or cause to be distributed to the public in Switzerland, the Base Prospectus, this </w:t>
            </w:r>
            <w:proofErr w:type="spellStart"/>
            <w:r>
              <w:t>termsheet</w:t>
            </w:r>
            <w:proofErr w:type="spellEnd"/>
            <w:r>
              <w:t xml:space="preserve"> or any other offering material relating to the Notes, other than pursuant to an exemption under Article 36(1) </w:t>
            </w:r>
            <w:proofErr w:type="spellStart"/>
            <w:r>
              <w:t>FinSA</w:t>
            </w:r>
            <w:proofErr w:type="spellEnd"/>
            <w:r>
              <w:t xml:space="preserve"> or where such offer or distribution does not qualify as a public offer in Switzerland. For these purposes, “public offer” refers to the respective definitions in Article 3(g) and (h) </w:t>
            </w:r>
            <w:proofErr w:type="spellStart"/>
            <w:r>
              <w:t>FinSA</w:t>
            </w:r>
            <w:proofErr w:type="spellEnd"/>
            <w:r>
              <w:t xml:space="preserve"> and as further detailed in </w:t>
            </w:r>
            <w:proofErr w:type="spellStart"/>
            <w:r>
              <w:t>FinSO</w:t>
            </w:r>
            <w:proofErr w:type="spellEnd"/>
            <w:r>
              <w:t>.</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t>termsheet</w:t>
            </w:r>
            <w:proofErr w:type="spellEnd"/>
            <w:r>
              <w: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contents of this </w:t>
            </w:r>
            <w:proofErr w:type="spellStart"/>
            <w:r>
              <w:t>termsheet</w:t>
            </w:r>
            <w:proofErr w:type="spellEnd"/>
            <w:r>
              <w:t xml:space="preserve"> have not been reviewed by any regulatory authority in Hong Kong or any other jurisdiction. You are advised to exercise caution in relation to the offer. If you are in any doubt about any of the contents of this </w:t>
            </w:r>
            <w:proofErr w:type="spellStart"/>
            <w:r>
              <w:t>termsheet</w:t>
            </w:r>
            <w:proofErr w:type="spellEnd"/>
            <w:r>
              <w: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w:t>
            </w:r>
            <w:proofErr w:type="spellStart"/>
            <w:r>
              <w:t>termsheet</w:t>
            </w:r>
            <w:proofErr w:type="spellEnd"/>
            <w:r>
              <w:t xml:space="preserve"> has not been approved by the Securities and Futures Commission in Hong Kong and, accordingly, (</w:t>
            </w:r>
            <w:proofErr w:type="spellStart"/>
            <w:r>
              <w:t>i</w:t>
            </w:r>
            <w:proofErr w:type="spellEnd"/>
            <w:r>
              <w:t xml:space="preserve">) the Notes (except for Notes which are “structured products” as defined in the Securities and Futures Ordinance (Cap. 571) of Hong Kong (the “SFO”)) may not be offered or sold in Hong Kong by means of this </w:t>
            </w:r>
            <w:proofErr w:type="spellStart"/>
            <w:r>
              <w:t>termsheet</w:t>
            </w:r>
            <w:proofErr w:type="spellEnd"/>
            <w:r>
              <w:t xml:space="preserve"> or any other document other than to “professional investors” as defined in the SFO and any rules made thereunder, or in other circumstances which do not result in the </w:t>
            </w:r>
            <w:proofErr w:type="spellStart"/>
            <w:r>
              <w:t>termsheet</w:t>
            </w:r>
            <w:proofErr w:type="spellEnd"/>
            <w: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t>termsheet</w:t>
            </w:r>
            <w:proofErr w:type="spellEnd"/>
            <w: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t>termsheet</w:t>
            </w:r>
            <w:proofErr w:type="spellEnd"/>
            <w: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w:t>
            </w:r>
            <w:proofErr w:type="spellStart"/>
            <w:r>
              <w:t>i</w:t>
            </w:r>
            <w:proofErr w:type="spellEnd"/>
            <w:r>
              <w:t>)</w:t>
            </w:r>
            <w:r>
              <w:tab/>
              <w:t>to an institutional investor or to a relevant person or to any person arising from an offer referred to in Section 275(1A) or Section 276(4)(</w:t>
            </w:r>
            <w:proofErr w:type="spellStart"/>
            <w:r>
              <w:t>i</w:t>
            </w:r>
            <w:proofErr w:type="spellEnd"/>
            <w:r>
              <w:t xml:space="preserve">)(B) of the </w:t>
            </w:r>
            <w:proofErr w:type="gramStart"/>
            <w:r>
              <w:t>SFA;</w:t>
            </w:r>
            <w:proofErr w:type="gramEnd"/>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 xml:space="preserve">where no consideration is or will be given for the </w:t>
            </w:r>
            <w:proofErr w:type="gramStart"/>
            <w:r>
              <w:t>transfer;</w:t>
            </w:r>
            <w:proofErr w:type="gramEnd"/>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 xml:space="preserve">where the transfer is by operation of </w:t>
            </w:r>
            <w:proofErr w:type="gramStart"/>
            <w:r>
              <w:t>law;</w:t>
            </w:r>
            <w:proofErr w:type="gramEnd"/>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has been prepared for information purposes of intended investors only who will be high net worth individuals and institutions. The issuer represents and warrants that it has not made and will not make any invitation in or from the kingdom of Bahrain and will not market or offer the securities to any potential investor in Bahrain. All marketing and offering </w:t>
            </w:r>
            <w:proofErr w:type="gramStart"/>
            <w:r>
              <w:t>is</w:t>
            </w:r>
            <w:proofErr w:type="gramEnd"/>
            <w:r>
              <w:t xml:space="preserve"> made and will be made outside the kingdom of Bahrain. The central bank of Bahrain has not reviewed, nor has it approved, this </w:t>
            </w:r>
            <w:proofErr w:type="spellStart"/>
            <w:r>
              <w:t>termsheet</w:t>
            </w:r>
            <w:proofErr w:type="spellEnd"/>
            <w:r>
              <w:t xml:space="preserve"> or the marketing of the securities and takes no responsibility for the accuracy of the statements and information contained in this </w:t>
            </w:r>
            <w:proofErr w:type="spellStart"/>
            <w:proofErr w:type="gramStart"/>
            <w:r>
              <w:t>termsheet</w:t>
            </w:r>
            <w:proofErr w:type="spellEnd"/>
            <w:r>
              <w:t xml:space="preserve"> ,</w:t>
            </w:r>
            <w:proofErr w:type="gramEnd"/>
            <w:r>
              <w:t xml:space="preserve">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Israeli Securities law. Neither such offering nor the Notes have been qualified or approved by the Israeli Securities Authority or any other government or regulatory body. RBC is not licensed under The Regularization of Engagement in Investment 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lastRenderedPageBreak/>
              <w:t>The purchaser represents, warrants and covenants that: (</w:t>
            </w:r>
            <w:proofErr w:type="spellStart"/>
            <w:r>
              <w:t>i</w:t>
            </w:r>
            <w:proofErr w:type="spellEnd"/>
            <w:r>
              <w:t>)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lastRenderedPageBreak/>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w:t>
            </w:r>
            <w:proofErr w:type="spellStart"/>
            <w:r>
              <w:t>Autorité</w:t>
            </w:r>
            <w:proofErr w:type="spellEnd"/>
            <w:r>
              <w:t xml:space="preserve"> de </w:t>
            </w:r>
            <w:proofErr w:type="spellStart"/>
            <w:r>
              <w:t>Contrôle</w:t>
            </w:r>
            <w:proofErr w:type="spellEnd"/>
            <w:r>
              <w:t xml:space="preserve"> </w:t>
            </w:r>
            <w:proofErr w:type="spellStart"/>
            <w:r>
              <w:t>Prudentiel</w:t>
            </w:r>
            <w:proofErr w:type="spellEnd"/>
            <w:r>
              <w:t xml:space="preserve">” and fully licensed Monaco portfolio management companies by virtue of Law n° 1.144 of July 26, 1991 and Law 1.338, of September 7, 2007 duly licensed by the “Commission de </w:t>
            </w:r>
            <w:proofErr w:type="spellStart"/>
            <w:r>
              <w:t>Contrôle</w:t>
            </w:r>
            <w:proofErr w:type="spellEnd"/>
            <w:r>
              <w:t xml:space="preserve"> des </w:t>
            </w:r>
            <w:proofErr w:type="spellStart"/>
            <w:r>
              <w:t>Activités</w:t>
            </w:r>
            <w:proofErr w:type="spellEnd"/>
            <w:r>
              <w:t xml:space="preserve"> </w:t>
            </w:r>
            <w:proofErr w:type="spellStart"/>
            <w:proofErr w:type="gramStart"/>
            <w:r>
              <w:t>Financières</w:t>
            </w:r>
            <w:proofErr w:type="spellEnd"/>
            <w:r>
              <w:t>”(</w:t>
            </w:r>
            <w:proofErr w:type="gramEnd"/>
            <w:r>
              <w:t>“CCAF”).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 xml:space="preserve">THE ABOVE IS A SUMMARY OF THE INDICATIVE TERMS AND CONDITIONS OF A PROPOSED TRANSACTION AND DOES NOT INCLUDE ALL DEFINED TERMS. ALL THE INDICATIVE TERMS AND CONDITIONS ABOVE ARE SUBJECT TO CHANGE; </w:t>
      </w:r>
      <w:proofErr w:type="gramStart"/>
      <w:r>
        <w:t>THEREFORE</w:t>
      </w:r>
      <w:proofErr w:type="gramEnd"/>
      <w:r>
        <w:t xml:space="preserv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 xml:space="preserve">This document has been prepared by RBC Capital Markets (“RBCCM”) for discussion and/or information purposes only and does not constitute either an offer or the solicitation of an offer to </w:t>
      </w:r>
      <w:proofErr w:type="gramStart"/>
      <w:r>
        <w:t>enter into</w:t>
      </w:r>
      <w:proofErr w:type="gramEnd"/>
      <w:r>
        <w:t xml:space="preserve">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t>termsheet</w:t>
      </w:r>
      <w:proofErr w:type="spellEnd"/>
      <w:r>
        <w:t xml:space="preserve"> for definitive information. This document shall not constitute an underwriting commitment, an offer to sell, or the solicitation of an offer to buy any securities, commodities or other instruments, or a recommendation to </w:t>
      </w:r>
      <w:proofErr w:type="gramStart"/>
      <w:r>
        <w:t>enter into</w:t>
      </w:r>
      <w:proofErr w:type="gramEnd"/>
      <w: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t>enter into</w:t>
      </w:r>
      <w:proofErr w:type="gramEnd"/>
      <w:r>
        <w:t xml:space="preserve"> any transaction. To the extent that you subsequently </w:t>
      </w:r>
      <w:proofErr w:type="gramStart"/>
      <w:r>
        <w:t>enter into</w:t>
      </w:r>
      <w:proofErr w:type="gramEnd"/>
      <w:r>
        <w:t xml:space="preserve">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Pr>
          <w:b/>
        </w:rPr>
        <w:t>Accordingly</w:t>
      </w:r>
      <w:proofErr w:type="gramEnd"/>
      <w:r>
        <w:rPr>
          <w:b/>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footerReference w:type="default" r:id="rId9"/>
      <w:headerReference w:type="first" r:id="rId10"/>
      <w:footerReference w:type="first" r:id="rId11"/>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305A711B" w:rsidR="00AE43D6" w:rsidRDefault="002B5F2A" w:rsidP="00016766">
    <w:pPr>
      <w:pStyle w:val="TSWarning"/>
      <w:spacing w:before="0"/>
      <w:rPr>
        <w:lang w:eastAsia="zh-CN"/>
      </w:rPr>
    </w:pPr>
    <w:r>
      <w:rPr>
        <w:rFonts w:hint="eastAsia"/>
        <w:lang w:eastAsia="zh-CN"/>
      </w:rPr>
      <w:t>FI</w:t>
    </w:r>
    <w:r w:rsidR="00E81911"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017F52"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Pr>
        <w:rFonts w:hint="eastAsia"/>
        <w:lang w:eastAsia="zh-CN"/>
      </w:rPr>
      <w:t>NAL</w: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17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428F"/>
    <w:rsid w:val="00076652"/>
    <w:rsid w:val="0007700C"/>
    <w:rsid w:val="00077011"/>
    <w:rsid w:val="000776CD"/>
    <w:rsid w:val="000810D3"/>
    <w:rsid w:val="00083EA6"/>
    <w:rsid w:val="00084167"/>
    <w:rsid w:val="00086C7C"/>
    <w:rsid w:val="00090ABC"/>
    <w:rsid w:val="000A1A0B"/>
    <w:rsid w:val="000A275F"/>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6B0D"/>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62FEE"/>
    <w:rsid w:val="0016302A"/>
    <w:rsid w:val="00167213"/>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5791"/>
    <w:rsid w:val="00217EE2"/>
    <w:rsid w:val="00220133"/>
    <w:rsid w:val="00231829"/>
    <w:rsid w:val="00236225"/>
    <w:rsid w:val="002442F7"/>
    <w:rsid w:val="002451DD"/>
    <w:rsid w:val="00254C19"/>
    <w:rsid w:val="002628B3"/>
    <w:rsid w:val="002660B2"/>
    <w:rsid w:val="00281B3A"/>
    <w:rsid w:val="00281D5F"/>
    <w:rsid w:val="002861EF"/>
    <w:rsid w:val="00287171"/>
    <w:rsid w:val="0029664E"/>
    <w:rsid w:val="002A1EAA"/>
    <w:rsid w:val="002A3689"/>
    <w:rsid w:val="002A47B6"/>
    <w:rsid w:val="002B4C57"/>
    <w:rsid w:val="002B5F2A"/>
    <w:rsid w:val="002B73B2"/>
    <w:rsid w:val="002C1DD4"/>
    <w:rsid w:val="002D27FC"/>
    <w:rsid w:val="002D6B19"/>
    <w:rsid w:val="0030203E"/>
    <w:rsid w:val="00307B16"/>
    <w:rsid w:val="003167A4"/>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D5DED"/>
    <w:rsid w:val="003E0620"/>
    <w:rsid w:val="003E5D1F"/>
    <w:rsid w:val="003F4E08"/>
    <w:rsid w:val="00402EBD"/>
    <w:rsid w:val="00404044"/>
    <w:rsid w:val="00404740"/>
    <w:rsid w:val="00406AAB"/>
    <w:rsid w:val="00407D9E"/>
    <w:rsid w:val="004119D8"/>
    <w:rsid w:val="004201CB"/>
    <w:rsid w:val="0042118B"/>
    <w:rsid w:val="00430BC0"/>
    <w:rsid w:val="00433433"/>
    <w:rsid w:val="00434AD9"/>
    <w:rsid w:val="00435D2E"/>
    <w:rsid w:val="00436BEC"/>
    <w:rsid w:val="00454D69"/>
    <w:rsid w:val="00465B9A"/>
    <w:rsid w:val="00476B6D"/>
    <w:rsid w:val="00476E50"/>
    <w:rsid w:val="00477DEE"/>
    <w:rsid w:val="00481E9D"/>
    <w:rsid w:val="00482D3F"/>
    <w:rsid w:val="0048518A"/>
    <w:rsid w:val="0049135C"/>
    <w:rsid w:val="004A042F"/>
    <w:rsid w:val="004A2EEC"/>
    <w:rsid w:val="004B4C5B"/>
    <w:rsid w:val="004B69BD"/>
    <w:rsid w:val="004C0DAA"/>
    <w:rsid w:val="004C5968"/>
    <w:rsid w:val="004D39E3"/>
    <w:rsid w:val="004E52E9"/>
    <w:rsid w:val="00510EB1"/>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6B74"/>
    <w:rsid w:val="00657E8C"/>
    <w:rsid w:val="00663DE4"/>
    <w:rsid w:val="006715D6"/>
    <w:rsid w:val="006720BD"/>
    <w:rsid w:val="00675800"/>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7483"/>
    <w:rsid w:val="0086485A"/>
    <w:rsid w:val="008736D6"/>
    <w:rsid w:val="008807C4"/>
    <w:rsid w:val="00887957"/>
    <w:rsid w:val="00891F66"/>
    <w:rsid w:val="00892457"/>
    <w:rsid w:val="00892AA3"/>
    <w:rsid w:val="008A0BD4"/>
    <w:rsid w:val="008A0FB3"/>
    <w:rsid w:val="008A3744"/>
    <w:rsid w:val="008A7780"/>
    <w:rsid w:val="008B3C90"/>
    <w:rsid w:val="008B74C7"/>
    <w:rsid w:val="008B7AFC"/>
    <w:rsid w:val="008D6D8F"/>
    <w:rsid w:val="008D7388"/>
    <w:rsid w:val="008E41C4"/>
    <w:rsid w:val="008E67B1"/>
    <w:rsid w:val="008F1F2E"/>
    <w:rsid w:val="00906A58"/>
    <w:rsid w:val="00911F14"/>
    <w:rsid w:val="009138BE"/>
    <w:rsid w:val="00920E71"/>
    <w:rsid w:val="009319C2"/>
    <w:rsid w:val="009345C0"/>
    <w:rsid w:val="009351E1"/>
    <w:rsid w:val="00953CEA"/>
    <w:rsid w:val="00954E16"/>
    <w:rsid w:val="009557F4"/>
    <w:rsid w:val="00965879"/>
    <w:rsid w:val="00973EF7"/>
    <w:rsid w:val="0097679C"/>
    <w:rsid w:val="0097795F"/>
    <w:rsid w:val="00985FFB"/>
    <w:rsid w:val="00995900"/>
    <w:rsid w:val="009A2D35"/>
    <w:rsid w:val="009A52C3"/>
    <w:rsid w:val="009B788A"/>
    <w:rsid w:val="009D46D4"/>
    <w:rsid w:val="009E03B9"/>
    <w:rsid w:val="009E0B8D"/>
    <w:rsid w:val="009E7CBF"/>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1F0D"/>
    <w:rsid w:val="00AC41E0"/>
    <w:rsid w:val="00AD564F"/>
    <w:rsid w:val="00AE43D6"/>
    <w:rsid w:val="00AE6829"/>
    <w:rsid w:val="00AE6DAA"/>
    <w:rsid w:val="00AF07F4"/>
    <w:rsid w:val="00B04401"/>
    <w:rsid w:val="00B04B47"/>
    <w:rsid w:val="00B11C2D"/>
    <w:rsid w:val="00B11FA9"/>
    <w:rsid w:val="00B1486E"/>
    <w:rsid w:val="00B15853"/>
    <w:rsid w:val="00B20E4A"/>
    <w:rsid w:val="00B27A61"/>
    <w:rsid w:val="00B36202"/>
    <w:rsid w:val="00B370A3"/>
    <w:rsid w:val="00B37AFC"/>
    <w:rsid w:val="00B47EC5"/>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26473"/>
    <w:rsid w:val="00C27D93"/>
    <w:rsid w:val="00C30670"/>
    <w:rsid w:val="00C32D6C"/>
    <w:rsid w:val="00C3559B"/>
    <w:rsid w:val="00C4736D"/>
    <w:rsid w:val="00C571E0"/>
    <w:rsid w:val="00C61C70"/>
    <w:rsid w:val="00C61D1C"/>
    <w:rsid w:val="00C73DF6"/>
    <w:rsid w:val="00C7418F"/>
    <w:rsid w:val="00C8374D"/>
    <w:rsid w:val="00C8450A"/>
    <w:rsid w:val="00C87DA5"/>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34D6C"/>
    <w:rsid w:val="00D36A3A"/>
    <w:rsid w:val="00D46B31"/>
    <w:rsid w:val="00D46C8A"/>
    <w:rsid w:val="00D61B8F"/>
    <w:rsid w:val="00D62751"/>
    <w:rsid w:val="00D63F25"/>
    <w:rsid w:val="00D663E2"/>
    <w:rsid w:val="00D7004D"/>
    <w:rsid w:val="00D71DBE"/>
    <w:rsid w:val="00D73E17"/>
    <w:rsid w:val="00D746FC"/>
    <w:rsid w:val="00D80941"/>
    <w:rsid w:val="00D93161"/>
    <w:rsid w:val="00D94E07"/>
    <w:rsid w:val="00D97EA5"/>
    <w:rsid w:val="00DA22C8"/>
    <w:rsid w:val="00DA6FB3"/>
    <w:rsid w:val="00DB2BF5"/>
    <w:rsid w:val="00DB3F33"/>
    <w:rsid w:val="00DC43C2"/>
    <w:rsid w:val="00DC6E87"/>
    <w:rsid w:val="00DD548F"/>
    <w:rsid w:val="00DD6EB5"/>
    <w:rsid w:val="00DE38D4"/>
    <w:rsid w:val="00DF6D50"/>
    <w:rsid w:val="00E00527"/>
    <w:rsid w:val="00E01E9A"/>
    <w:rsid w:val="00E211C2"/>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77166"/>
    <w:rsid w:val="00F82736"/>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9</Pages>
  <Words>5260</Words>
  <Characters>29985</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Zhang, Stella</cp:lastModifiedBy>
  <cp:revision>18</cp:revision>
  <cp:lastPrinted>2025-05-14T17:11:00Z</cp:lastPrinted>
  <dcterms:created xsi:type="dcterms:W3CDTF">2025-06-17T17:51:00Z</dcterms:created>
  <dcterms:modified xsi:type="dcterms:W3CDTF">2026-01-07T16:10:00Z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